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b8a4" w14:textId="6d9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есебінен Бәйтерек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2019 жылғы 29 мамырдағы № 400 қаулысы. Батыс Қазақстан облысының Әділет департаментінде 2019 жылғы 30 мамырда № 5693 болып тіркелді. Күші жойылды - Батыс Қазақстан облысы Бәйтерек ауданы әкімдігінің 2022 жылғы 4 ақпандағы № 28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04.02.2022 </w:t>
      </w:r>
      <w:r>
        <w:rPr>
          <w:rFonts w:ascii="Times New Roman"/>
          <w:b w:val="false"/>
          <w:i w:val="false"/>
          <w:color w:val="ff0000"/>
          <w:sz w:val="28"/>
        </w:rPr>
        <w:t>№ 28</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Бәйтерек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 есебінен Бәйтерек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бекітілсін.</w:t>
      </w:r>
    </w:p>
    <w:bookmarkEnd w:id="1"/>
    <w:bookmarkStart w:name="z5" w:id="2"/>
    <w:p>
      <w:pPr>
        <w:spacing w:after="0"/>
        <w:ind w:left="0"/>
        <w:jc w:val="both"/>
      </w:pPr>
      <w:r>
        <w:rPr>
          <w:rFonts w:ascii="Times New Roman"/>
          <w:b w:val="false"/>
          <w:i w:val="false"/>
          <w:color w:val="000000"/>
          <w:sz w:val="28"/>
        </w:rPr>
        <w:t>
      2. Бәйтерек ауданы әкімі аппаратының басшысы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Е.Бекетовке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2019 жылғы 29 мамырдағы</w:t>
            </w:r>
            <w:r>
              <w:br/>
            </w:r>
            <w:r>
              <w:rPr>
                <w:rFonts w:ascii="Times New Roman"/>
                <w:b w:val="false"/>
                <w:i w:val="false"/>
                <w:color w:val="000000"/>
                <w:sz w:val="20"/>
              </w:rPr>
              <w:t>№ 400 қаулысына қосымша</w:t>
            </w:r>
          </w:p>
        </w:tc>
      </w:tr>
    </w:tbl>
    <w:bookmarkStart w:name="z9" w:id="5"/>
    <w:p>
      <w:pPr>
        <w:spacing w:after="0"/>
        <w:ind w:left="0"/>
        <w:jc w:val="left"/>
      </w:pPr>
      <w:r>
        <w:rPr>
          <w:rFonts w:ascii="Times New Roman"/>
          <w:b/>
          <w:i w:val="false"/>
          <w:color w:val="000000"/>
        </w:rPr>
        <w:t xml:space="preserve"> Аудандық бюджет есебінен Бәйтерек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Бәйтерек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өтеудің ішкі қағидалары</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Бәйтерек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сегіз еселеген мөлшерінде, облыс орталықтары мен облыстық маңызы бар қалаларда – айлық есептік бес еселеген мөлшерінде, аудан орталықтары мен аудандық маңызы бар қалаларда және Ақмола облысы Бурабай ауданының Бурабай кентінде – айлық есептік көрсеткіштің үш еселеген мөлшерінде;</w:t>
      </w:r>
    </w:p>
    <w:bookmarkEnd w:id="13"/>
    <w:bookmarkStart w:name="z18" w:id="14"/>
    <w:p>
      <w:pPr>
        <w:spacing w:after="0"/>
        <w:ind w:left="0"/>
        <w:jc w:val="both"/>
      </w:pPr>
      <w:r>
        <w:rPr>
          <w:rFonts w:ascii="Times New Roman"/>
          <w:b w:val="false"/>
          <w:i w:val="false"/>
          <w:color w:val="000000"/>
          <w:sz w:val="28"/>
        </w:rPr>
        <w:t>
      Бәйтерек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бес еселенген мөлшерінде, облыс орталықтары мен облыстық маңызы бар қалаларда – айлық есептік көрсеткіштің екі еселенген мөлшерінде, аудан орталықтарында, аудандық маңызы бар қалаларда және Ақмола облысы Бурабай ауданының Бурабай кентінде, ауылдық округтерде – екі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Бәйтерек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Қағидалардың </w:t>
      </w:r>
      <w:r>
        <w:rPr>
          <w:rFonts w:ascii="Times New Roman"/>
          <w:b w:val="false"/>
          <w:i w:val="false"/>
          <w:color w:val="000000"/>
          <w:sz w:val="28"/>
        </w:rPr>
        <w:t>3) тармағында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 </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Бәйтерек ауданының мемлекеттiк мекемелерінің басшыларымен шешіледі.</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қағидалары</w:t>
      </w:r>
    </w:p>
    <w:bookmarkEnd w:id="30"/>
    <w:bookmarkStart w:name="z35"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