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7ae" w14:textId="38f2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2019 жылғы 8 тамыздағы № 114 қаулысы. Батыс Қазақстан облысының Әділет департаментінде 2019 жылғы 15 тамызда № 5768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01.01.2020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 жылғы 25 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елді мекендегі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ауданы әкімдігінің 2018 жылғы 28 мамырдағы №120 "Елді мекендегі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№5220 тіркелген, 2018 жылғы 11 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Жаңақала ауданы әкімі аппаратының басшысы (А.Жумалиев) осы қаулының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А.Еслямғалиеваға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2020 жылдың 1 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08 тамыздағы №114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а.о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Үштас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Меңдешев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Карташово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а.о.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а.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– ауыл;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а.о. – ауылдық округ.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