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26d1" w14:textId="7e02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2018 жылғы 29 желтоқсандағы №23-1 "2019-2021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2019 жылғы 12 желтоқсандағы № 33-1 шешімі. Батыс Қазақстан облысының Әділет департаментінде 2019 жылғы 18 желтоқсанда № 5895 болып тіркелді. Күші жойылды - Батыс Қазақстан облысы Бөкей ордасы аудандық мәслихатының 2020 жылғы 4 наурыздағы №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2018 жылғы 29 желтоқсандағы №23-1 "2019-2021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№5514 тіркелген, 2019 жылғы 22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120 886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104 319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74 736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63 991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77 405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- 2 669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2 669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2 669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65 275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6 112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59 163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мәслихат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Сайқын селолық округ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Орда селолық округ бюджеті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- 2 669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Бисен селолық округ бюджеті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