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be42" w14:textId="367b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9 жылғы 4 қыркүйектегі № 4 шешімі. Батыс Қазақстан облысының Әділет департаментінде 2019 жылғы 4 қыркүйекте № 57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 – санитариялық инспекторының 2019 жылғы 27 тамыздағы №1-15/716 ұсынысы негізінде, Сарытоғай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қжайық ауданы Сарытоғай ауылдық округі Жанама ауылы аймағында (О.Галимов көшесінің №20-36, №27-35 үй аралығы, Республика көшесінің №1-10 үй аралығы, Әбу Сембаев көшесінің №1-9 үй аралығы, С.Сейфуллин көшесінің №1-15 үй аралығы және Абай көшесінің №1-6 үй аралығы) ұсақ мүйізді қара мал арасында бруцеллез ауруының пайда болуына байланысты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ы Сарытоғай ауылдық округі әкімінің 2019 жылғы 12 наурыздағы №2 "Шектеу іс-шараларын белгілеу туралы" (Нормативтік құқықтық актілерді тіркеу тізілімінде №5565 тіркелген, 2019 жылғы 19 наурыздағы "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а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арытоғай ауылдық округі әкімі аппаратының бас маманы (С.Гайс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