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3937" w14:textId="6023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2018 жылғы 21 желтоқсандағы № 30-2 "2019-2021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24 сәуірдегі № 35-2 шешімі. Шығыс Қазақстан облысының Әділет департаментінде 2019 жылғы 30 сәуірде № 5893 болып тіркелді. Күші жойылды - Шығыс Қазақстан облысы Көкпекті аудандық мәслихатының 2019 жылғы 23 желтоқсандағы № 43-2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23.12.2019 № 43-2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2019 жылғы 12 сәуірдегі № 29/313-VI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5871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2018 жылғы 21 желтоқсандағы № 30-2 "2019-2021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5-15-133 тіркелген, 2019 жылғы 11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2019 жылға мынадай көлемде бекітілсін:</w:t>
      </w:r>
    </w:p>
    <w:bookmarkEnd w:id="3"/>
    <w:bookmarkStart w:name="z11" w:id="4"/>
    <w:p>
      <w:pPr>
        <w:spacing w:after="0"/>
        <w:ind w:left="0"/>
        <w:jc w:val="both"/>
      </w:pPr>
      <w:r>
        <w:rPr>
          <w:rFonts w:ascii="Times New Roman"/>
          <w:b w:val="false"/>
          <w:i w:val="false"/>
          <w:color w:val="000000"/>
          <w:sz w:val="28"/>
        </w:rPr>
        <w:t xml:space="preserve">
      1) кірістер – 6 792 679,6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978 400,0 мың теңге; </w:t>
      </w:r>
    </w:p>
    <w:bookmarkEnd w:id="5"/>
    <w:bookmarkStart w:name="z13" w:id="6"/>
    <w:p>
      <w:pPr>
        <w:spacing w:after="0"/>
        <w:ind w:left="0"/>
        <w:jc w:val="both"/>
      </w:pPr>
      <w:r>
        <w:rPr>
          <w:rFonts w:ascii="Times New Roman"/>
          <w:b w:val="false"/>
          <w:i w:val="false"/>
          <w:color w:val="000000"/>
          <w:sz w:val="28"/>
        </w:rPr>
        <w:t>
      салықтық емес түсімдер – 24 600,0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5 769 679,6 мың теңге;</w:t>
      </w:r>
    </w:p>
    <w:bookmarkEnd w:id="8"/>
    <w:bookmarkStart w:name="z16" w:id="9"/>
    <w:p>
      <w:pPr>
        <w:spacing w:after="0"/>
        <w:ind w:left="0"/>
        <w:jc w:val="both"/>
      </w:pPr>
      <w:r>
        <w:rPr>
          <w:rFonts w:ascii="Times New Roman"/>
          <w:b w:val="false"/>
          <w:i w:val="false"/>
          <w:color w:val="000000"/>
          <w:sz w:val="28"/>
        </w:rPr>
        <w:t>
      2) шығындар – 6 743 381,9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49 355,0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73 037,0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23 862,0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121 910,0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121 910,0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-121 967,3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-121 967,3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71 962,0 мың теңге;</w:t>
      </w:r>
    </w:p>
    <w:bookmarkEnd w:id="18"/>
    <w:bookmarkStart w:name="z26" w:id="19"/>
    <w:p>
      <w:pPr>
        <w:spacing w:after="0"/>
        <w:ind w:left="0"/>
        <w:jc w:val="both"/>
      </w:pPr>
      <w:r>
        <w:rPr>
          <w:rFonts w:ascii="Times New Roman"/>
          <w:b w:val="false"/>
          <w:i w:val="false"/>
          <w:color w:val="000000"/>
          <w:sz w:val="28"/>
        </w:rPr>
        <w:t>
      қарыздарды өтеу – 23 682,0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–73 687,3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2019 жылға аудандық бюджетте облыстық бюджеттен ағымдағы нысанылы трансферттер 618 691,6 мың теңге көлемінде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2019 жылға аудандық бюджетте республикалық бюджеттен 484 003,0 мың теңге сомасында ағымдағы нысаналы трансферттер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33"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2019 жылға аудандық бюджетте облыстық бюджеттен 195 448,0 мың теңге сомасында нысаналы даму трансферттері ескерілсін.";</w:t>
      </w:r>
    </w:p>
    <w:bookmarkEnd w:id="23"/>
    <w:bookmarkStart w:name="z34"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4"/>
    <w:bookmarkStart w:name="z35" w:id="25"/>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35-2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1 қосымша</w:t>
            </w:r>
          </w:p>
        </w:tc>
      </w:tr>
    </w:tbl>
    <w:bookmarkStart w:name="z41" w:id="26"/>
    <w:p>
      <w:pPr>
        <w:spacing w:after="0"/>
        <w:ind w:left="0"/>
        <w:jc w:val="left"/>
      </w:pPr>
      <w:r>
        <w:rPr>
          <w:rFonts w:ascii="Times New Roman"/>
          <w:b/>
          <w:i w:val="false"/>
          <w:color w:val="000000"/>
        </w:rPr>
        <w:t xml:space="preserve"> 2019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6 792 679,6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5 769 679,6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5 769 679,6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5 769 679,6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1"/>
        <w:gridCol w:w="1091"/>
        <w:gridCol w:w="5842"/>
        <w:gridCol w:w="29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6 743 381,9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160 575,4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317 828,8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254 867,8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3 238 867,3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2 760 483,5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2 680 687,5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2 621 164,5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1 245 734,0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1 245 734,0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152 152,2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35-2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4 қосымша</w:t>
            </w:r>
          </w:p>
        </w:tc>
      </w:tr>
    </w:tbl>
    <w:bookmarkStart w:name="z44" w:id="27"/>
    <w:p>
      <w:pPr>
        <w:spacing w:after="0"/>
        <w:ind w:left="0"/>
        <w:jc w:val="left"/>
      </w:pPr>
      <w:r>
        <w:rPr>
          <w:rFonts w:ascii="Times New Roman"/>
          <w:b/>
          <w:i w:val="false"/>
          <w:color w:val="000000"/>
        </w:rPr>
        <w:t xml:space="preserve"> 2019 жылға арналған облыстық бюджеттен берілетін ағымдағы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936"/>
        <w:gridCol w:w="406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дәрі-дармектерді пайдалануға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10 сынып оқушыларына оқулықтар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компьютерлермен жабдықтауға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Видеобақылау жүйесін алып орнатуға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даярлау ақысын төлеіге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мектептері ғимараттарын бейімдеуге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сыныбын ашу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Х-DOC жүйені енгізу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шығындарына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ЖМЖҚА арқылы жұмысқа орналастыру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абаттандыруға, соның ішінде: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IV-деңгейдегі бюджеттегі ауылдық округтарды абаттандыруға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 кіре берістегі автомобиль жолдарындағы көпір және трубаларды ағымдағы жөндеу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53 909,2</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жөндеу жұмыстарын жүргізуге бағытталған шараларды іске асыруға облыстық бюджеттен берілетін ағымдағы нысаналы трансферттер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104 907,4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архив және құжаттама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формаларын алу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Преображенка ауылдағы өзендерді нығайту бойынша ағымдағы жұмыстар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азаматтарға әлеуметтік көмек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35-2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5 қосымша</w:t>
            </w:r>
          </w:p>
        </w:tc>
      </w:tr>
    </w:tbl>
    <w:bookmarkStart w:name="z47" w:id="28"/>
    <w:p>
      <w:pPr>
        <w:spacing w:after="0"/>
        <w:ind w:left="0"/>
        <w:jc w:val="left"/>
      </w:pPr>
      <w:r>
        <w:rPr>
          <w:rFonts w:ascii="Times New Roman"/>
          <w:b/>
          <w:i w:val="false"/>
          <w:color w:val="000000"/>
        </w:rPr>
        <w:t xml:space="preserve"> 2019 жылға арналған республикалық бюджеттен берілетін ағымдағы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6355"/>
        <w:gridCol w:w="4510"/>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 соның ішінде: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қосымша ақы төлеуге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оқу кезеңінде оның орнына уақытша қызмет атқарғаны үшін төлемақы шығындарын өтеуге жергілікті бюджеттердің жоғалтымдарын өтеуге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беруде жаңартылған білім мазмұны бойынша оқу бағдарламаларын жүзеге асыратын білім беру ұйымдары мұғалімдеріне үстеме ақы төлеуге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209 315,0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тесттен өтіп және бастауыш, негізгі және жалпы орта мектептерде білім бағдарламаларын жүзеге асыратын мұғалімдерге педагогикалық шеберлік біліктілігіне үстеме ақы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96 617,0</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педагог-психологтарға педагогикалық шеберлік біліктілігі үшін қызметтік ақы көлемін ұлғайтуға және үстемеақы төлеуге, соның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педагог-психологтардың қызметтік ақы көлемін ұлғайтуға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педагог-психологтарға педагогикалық шеберлік біліктілігі үшін үстемеақы төлеуге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3 874,0</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арналған іс-шаралар жоспарын іске асыру, соның ішінде: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(өтемдеуіш) құралдар Тізбесін кеңейтуге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консультанттар және ассистенттер енгізуге, соның ішінде: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қызметіне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қызметіне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жалға алуға және коммуналдық шығындарды өтеуге</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0" w:type="auto"/>
            <w:vMerge/>
            <w:tcBorders>
              <w:top w:val="nil"/>
              <w:left w:val="single" w:color="cfcfcf" w:sz="5"/>
              <w:bottom w:val="single" w:color="cfcfcf" w:sz="5"/>
              <w:right w:val="single" w:color="cfcfcf" w:sz="5"/>
            </w:tcBorders>
          </w:tcP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қоныс аударушыларға гранттар</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жалақы көлемінің өзгеруіне байланыста мемлекеттік бюджет есебінен қаржыландырылатын азаматтық қызметкерлердің, ұйымдар жұмысшыларының, қазынашылық кәсіпорындар жұмысшыларының кейбір санаттарының еңбекақысын ұлғайтуға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82 885,0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35-2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6 қосымша</w:t>
            </w:r>
          </w:p>
        </w:tc>
      </w:tr>
    </w:tbl>
    <w:bookmarkStart w:name="z50" w:id="29"/>
    <w:p>
      <w:pPr>
        <w:spacing w:after="0"/>
        <w:ind w:left="0"/>
        <w:jc w:val="left"/>
      </w:pPr>
      <w:r>
        <w:rPr>
          <w:rFonts w:ascii="Times New Roman"/>
          <w:b/>
          <w:i w:val="false"/>
          <w:color w:val="000000"/>
        </w:rPr>
        <w:t xml:space="preserve"> 2019 жылға арналған облыстық бюджеттен берілетін нысаналы даму трансферттері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6528"/>
        <w:gridCol w:w="4379"/>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дамытуға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