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1e8b" w14:textId="cd21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2018 жылғы 3 желтоқсандағы № 405 қаулысы. Шығыс Қазақстан облысының Әділет департаментінде 2019 жылғы 9 желтоқсанда № 6360 болып тіркелді. Күші жойылды - Шығыс Қазақстан облысы Күршім ауданы әкімдігінің 2021 жылғы 23 ақпандағы № 76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әкімдігінің 23.02.2021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Кодекстің 56-бабының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тармақшысына, Қазақстан Республикасының 2007 жылғы 27 шілдедегі "Білім туралы"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ауданының әкімдігі ҚАУЛЫ ЕТЕДІ:</w:t>
      </w:r>
    </w:p>
    <w:bookmarkEnd w:id="0"/>
    <w:bookmarkStart w:name="z2"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 </w:t>
      </w:r>
    </w:p>
    <w:bookmarkEnd w:id="1"/>
    <w:bookmarkStart w:name="z3" w:id="2"/>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"Күршім ауданының жұмыспен қамту, әлеуметтік бағдарламалар және азаматтық хал актілерін тіркеу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2 тармағының 5) және 6) тармақшаларына сәйкес құжаттарды мемлекеттік мектепке дейінгі білім беру ұйымдарына ұсыну арқылы расталуы тиіс.</w:t>
      </w:r>
    </w:p>
    <w:bookmarkEnd w:id="12"/>
    <w:bookmarkStart w:name="z14" w:id="13"/>
    <w:p>
      <w:pPr>
        <w:spacing w:after="0"/>
        <w:ind w:left="0"/>
        <w:jc w:val="both"/>
      </w:pPr>
      <w:r>
        <w:rPr>
          <w:rFonts w:ascii="Times New Roman"/>
          <w:b w:val="false"/>
          <w:i w:val="false"/>
          <w:color w:val="000000"/>
          <w:sz w:val="28"/>
        </w:rPr>
        <w:t xml:space="preserve">
      Ауданның мемлекеттік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        </w:t>
      </w:r>
    </w:p>
    <w:bookmarkEnd w:id="13"/>
    <w:bookmarkStart w:name="z15" w:id="14"/>
    <w:p>
      <w:pPr>
        <w:spacing w:after="0"/>
        <w:ind w:left="0"/>
        <w:jc w:val="both"/>
      </w:pPr>
      <w:r>
        <w:rPr>
          <w:rFonts w:ascii="Times New Roman"/>
          <w:b w:val="false"/>
          <w:i w:val="false"/>
          <w:color w:val="000000"/>
          <w:sz w:val="28"/>
        </w:rPr>
        <w:t>
      3. "Күршім ауданының білім бөлімі" мемлекеттік мекемесі Қазақстан Республикасының заңнамасында белгіленген тәртіппен:</w:t>
      </w:r>
    </w:p>
    <w:bookmarkEnd w:id="14"/>
    <w:bookmarkStart w:name="z16" w:id="1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5"/>
    <w:bookmarkStart w:name="z17" w:id="1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Күршім ауданы аумағында  таратылатын   мерзімді  баспа басылымдарына ресми жариялауға жолданылуын;</w:t>
      </w:r>
    </w:p>
    <w:bookmarkEnd w:id="16"/>
    <w:bookmarkStart w:name="z18" w:id="17"/>
    <w:p>
      <w:pPr>
        <w:spacing w:after="0"/>
        <w:ind w:left="0"/>
        <w:jc w:val="both"/>
      </w:pPr>
      <w:r>
        <w:rPr>
          <w:rFonts w:ascii="Times New Roman"/>
          <w:b w:val="false"/>
          <w:i w:val="false"/>
          <w:color w:val="000000"/>
          <w:sz w:val="28"/>
        </w:rPr>
        <w:t>
       3) ресми жарияланғанынан кейін осы қаулының Күршім ауданы әкімінің интернет - 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Қ.З. Әзімбаевқа жүктелсін.</w:t>
      </w:r>
    </w:p>
    <w:bookmarkEnd w:id="18"/>
    <w:bookmarkStart w:name="z20" w:id="19"/>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1 тамыздан бастап баратын тәрбиеленушілерге қолданылады.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