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e980" w14:textId="057e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2016 жылғы 17 қазандағы № 9/3-VI "Мүгедектер қатарындағы кемтар балаларды жеке оқыту жоспары бойынша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47/16-VI шешімі. Шығыс Қазақстан облысының Әділет департаментінде 2019 жылғы 24 сәуірде № 5882 болып тіркелді. Күші жойылды - Шығыс Қазақстан облысы Алтай ауданы мәслихатының 2021 жылғы 21 қазандағы № 8/3-VII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21.10.2021 № 8/3-VII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2002 жылғы 11 шілдедегі "Кемтар балаларды әлеуметтiк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2016 жылғы 17 қазандағы № 9/3-VI "Мүгедектер қатарындағы кемтар балаларды жеке оқыту жоспары бойынша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4738 тіркелген, Қазақстан Республикасы нормативтік құқықтық актілерінің Эталондық бақылау банкінде 2016 жылғы 22 қарашада электрондық түрде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2002 жылғы 11 шілдедегі "Кемтар балаларды әлеуметтiк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 жаңа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оқытуға жұмсаған шығындарды өндіріп алу "Алтай ауданының жұмыспен қамту және әлеуметтік бағдарламалар бөлімі" мемлекеттік мекемесімен жүргізіледі;".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