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1dcf" w14:textId="ac11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12 қыркүйектегі № 25/218-VI "Тұрғын үй көмегін көрсетудің мөлшері мен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28 қазандағы № 39/318-VI шешімі. Шығыс Қазақстан облысының Әділет департаментінде 2019 жылғы 7 қарашада № 6263 болып тіркелді. Күші жойылды - Шығыс Қазақстан облысы Жарма аудандық мәслихатының 2020 жылғы 10 қыркүйектегі № 49/466-VI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10.09.2020 </w:t>
      </w:r>
      <w:r>
        <w:rPr>
          <w:rFonts w:ascii="Times New Roman"/>
          <w:b w:val="false"/>
          <w:i w:val="false"/>
          <w:color w:val="ff0000"/>
          <w:sz w:val="28"/>
        </w:rPr>
        <w:t>№ 49/466-VI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15)-тармақшасына, Қазақстан Республикасының 2016 жылғы 6 сәуірдегі "Құқықтық актiлер туралы"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49-баптарына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2018 жылғы 12 қыркүйектегі № 25/218-VI "Тұрғын үй көмегін көрсетудің мөлшері мен тәртібін айқындау Қағидаларын бекіту туралы" (нормативтік құқықтық актілерді мемлекеттік тіркеу Тізілімінде 2018 жылы 10 қазанда № 5-10-155 болып тіркелген, Қазақстан Республикасы нормативтік құқықтық актілерінің Эталондық бақылау банкінде электрондық түрдегі 2018 жылы 17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4"/>
    <w:bookmarkStart w:name="z12"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5"/>
    <w:bookmarkStart w:name="z13" w:id="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6"/>
    <w:bookmarkStart w:name="z14"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7"/>
    <w:bookmarkStart w:name="z15"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bookmarkStart w:name="z16" w:id="9"/>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xml:space="preserve">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10"/>
    <w:bookmarkStart w:name="z19" w:id="11"/>
    <w:p>
      <w:pPr>
        <w:spacing w:after="0"/>
        <w:ind w:left="0"/>
        <w:jc w:val="both"/>
      </w:pPr>
      <w:r>
        <w:rPr>
          <w:rFonts w:ascii="Times New Roman"/>
          <w:b w:val="false"/>
          <w:i w:val="false"/>
          <w:color w:val="000000"/>
          <w:sz w:val="28"/>
        </w:rPr>
        <w:t>
      Коммуналдық қызметтердi жеткiзушiлер "Жарма ауданының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1"/>
    <w:bookmarkStart w:name="z20" w:id="12"/>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аудандық статистика және ақпарат басқармасы ұсынған аудан бойынша орташа баға қолданылады.</w:t>
      </w:r>
    </w:p>
    <w:bookmarkEnd w:id="12"/>
    <w:bookmarkStart w:name="z21" w:id="13"/>
    <w:p>
      <w:pPr>
        <w:spacing w:after="0"/>
        <w:ind w:left="0"/>
        <w:jc w:val="both"/>
      </w:pPr>
      <w:r>
        <w:rPr>
          <w:rFonts w:ascii="Times New Roman"/>
          <w:b w:val="false"/>
          <w:i w:val="false"/>
          <w:color w:val="000000"/>
          <w:sz w:val="28"/>
        </w:rPr>
        <w:t>
      Көмірдің сатып алуы маусымдық болуына байланысты, көмірдің барлық әлеуметтік шығын нормасын (көмір бағасы) тұрғын үй көмегін есептеу кезінде өтініш берген тоқсанның үш айына біржолғы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3" w:id="1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(бұдан әрі – Мемлекеттік корпорация) немесе "электронды үкімет" веб-порталына (бұдан әрі – портал) тоқсанына бір рет жүгінуге құқылы.".</w:t>
      </w:r>
    </w:p>
    <w:bookmarkEnd w:id="14"/>
    <w:bookmarkStart w:name="z24"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