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7beb" w14:textId="1477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әкімдігінің 2019 жылғы 9 шілдедегі № 273 "Мемлекеттік сатып алудың бірыңғай ұйымдастырушысын айқындау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2019 жылғы 11 қазандағы № 392 қаулысы. Шығыс Қазақстан облысының Әділет департаментінде 2019 жылғы 25 қазанда № 6222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 әкімдігінің 2019 жылғы 9 шілдедегі № 273 "Мемлекеттік сатып алудың бірыңғай ұйымдастырушысын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6068 нөмірімен тіркелген, Қазақстан Республикасының нормативтік құқықтық актілерінің эталондық бақылау банкінде 2019 жылғы 13 шілдеде электронды түрде жарияланған) күші жойылған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"Глубокое ауданының әкімі аппараты" мемлекеттік мекемесі Қазақстан Республикасы заңнамасында белгіленген тәртіппен: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әкімдік қаулысы мемлекеттік тіркелгеннен кейін күнтізбелік он күн ішінде оның көшірмесінің Глубокое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Глубокое ауданы әкімдігінің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аудан әкімінің орынбасары К. Р. Сейткановқа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өткеннен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