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bc20" w14:textId="6c4b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2018 жылғы 28 желтоқсандағы № 32-4-VI "2019-2021 жылдарға арналған Бородулиха ауданының Новопокровка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2019 жылғы 23 желтоқсандағы № 44-6-VI шешімі. Шығыс Қазақстан облысының Әділет департаментінде 2019 жылғы 26 желтоқсанда № 6448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Бородулиха аудандық мәслихаты ШЕШІМ ҚАБЫЛДАДЫ: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2018 жылғы 28 желтоқсандағы № 32-4-VI "2019-2021 жылдарға арналған Бородулиха ауданының Новопокровка ауылдық округінің бюджеті туралы" (Нормативтік құқықтық актілерді мемлекеттік тіркеу тізілімінде 5-8-196 нөмірімен тіркелген, Қазақстан Республикасы нормативтік құқықтық актілерінің электрондық түрдегі Эталондық бақылау банкінде 2019 жылғы 22 қаңтарда, "Пульс района", "Аудан тынысы" аудандық газеттерінде 2019 жылғы 25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43100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9908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33192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46423,6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-3323,6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3323,6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3323,6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 жылға арналған Новопокровка ауылдық округінің бюджетінде республикалық бюджеттен ағымдағы нысаналы трансферттер 2520 мың теңге сомасында ескерілсін.";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44-6-VI шешіміне 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Новопокровка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қамтамасыз ету салаларындағы өзге де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