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212c" w14:textId="bca2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18 жылғы 28 желтоқсандағы № 32-6-VI "2019-2021 жылдарға арналған Бородулиха ауданының Переме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23 желтоқсандағы № 44-8-VI шешімі. Шығыс Қазақстан облысының Әділет департаментінде 2019 жылғы 26 желтоқсанда № 644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18 жылғы 28 желтоқсандағы № 32-6-VI "2019-2021 жылдарға арналған Бородулиха ауданының Переменовка ауылдық округінің бюджеті туралы" (Нормативтік құқықтық актілерді мемлекеттік тіркеу тізілімінде 5-8-197 нөмірімен тіркелген, Қазақстан Республикасы нормативтік құқықтық актілерінің электрондық түрдегі Эталондық бақылау банкінде 2019 жылғы 22 қаңтарда, "Пульс района", "Аудан тынысы" аудандық газеттерінде 2019 жылғы 2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арналған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07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1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9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38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,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8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,8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Переменовка ауылдық округінің бюджетінде республикалық бюджеттен ағымдағы нысаналы трансферттер 1004 мың теңге сомасында ескері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ремено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