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eb59" w14:textId="580e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2018 жылғы 28 желтоқсандағы № 32-4-VI "2019-2021 жылдарға арналған Бородулиха ауданының Новопокровка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2019 жылғы 9 сәуірдегі № 37-4-VI шешімі. Шығыс Қазақстан облысының Әділет департаментінде 2019 жылғы 18 сәуірде № 5870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104–бабының 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тармақшасына, Қазақстан Республикасының 2016 жылғы 6сәуірдегі "Құқықтық актілер туралы" Заңының 50–бабының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2018 жылғы 28 желтоқсандағы № 32-4-VI "2019-2021 жылдарға арналған Бородулиха ауданының Новопокровка ауылдық округінің бюджеті туралы" (нормативтік құқықтық актілерді мемлекеттік тіркеу Тізілімінде 5-8-196 нөмірімен тіркелген, Қазақстан Республикасы нормативтік құқықтық актілерінің электрондық түрдегі Эталондық бақылау банкінде 2019 жылғы 22 қаңтарда, "Пульс района", "Аудан тынысы" аудандық газеттерінде 2019 жылғы 25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41366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9908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31458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44689,6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-3323,6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3323,6 мың теңге,соның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3323,6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енгізілді, қазақ тіліндегі мәтін өзгермейді;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37-4-VI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32-4-VI шешіміне1-қосымша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Новопокровка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44689,6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-3323,6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(профициттi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