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7f7" w14:textId="b09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32-5-VI "2019-2021 жылдарға арналған Бородулиха ауданының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9 сәуірдегі № 37-5-VI шешімі. Шығыс Қазақстан облысының Әділет департаментінде 2019 жылғы 11 сәуірде № 5844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32-5-VI "2019-2021 жылдарға арналған Бородулиха ауданының Новошульба ауылдық округінің бюджеті туралы" (нормативтік құқықтық актілерді мемлекеттік тіркеу Тізілімінде 5-8-198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53549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38625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55326,2мың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-1777,2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1777,2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1777,2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Новошульба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