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e2b7" w14:textId="863e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 Көкпекті ауылынан оңтүстік-шығысқа қарай 40,0 км орналасқан "ҚазГерСтрой бірлескен кәсіпорны" жауапкершілігі шектеулі серіктестігі сұрап отырған № 18 жер учаскесіндегі (шөгінді жыныстарды өндіруді жүргізу үшін) Жүзағаш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2 қаулысы. Шығыс Қазақстан облысының Әділет департаментінде 2019 жылғы 6 қыркүйекте № 614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өкпекті ауданы Көкпекті ауылынан оңтүстік-шығысқа қарай 40,0 км орналасқан "ҚазГерСтрой бірлескен кәсіпорны" жауапкершілігі шектеулі серіктестігі сұрап отырған (шөгінді жыныстарды өндіруді жүргізу үшін) № 18 жер учаскесіндегі Жүзағаш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 Көкпекті ауылынан оңтүстік-шығысқа қарай 40,0 км орналасқан "ҚазГерСтрой бірлескен кәсіпорны" жауапкершілігі шектеулі серіктестігі сұрап отырған (шөгінді жыныстарды өндіруді жүргізу үшін) № 18 жер учаскесіндегі Жүзағаш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2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Көкпекті ауданы Көкпекті ауылынан оңтүстік-шығысқа қарай 40,0 км орналасқан "ҚазГерСтрой бірлескен кәсіпорны" жауапкершілігі шектеулі серіктестігі сұрап отырған (шөгінді жыныстарды өндіруді жүргізу үшін) № 18 жер учаскесіндегі Жүзағаш бұлағ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378"/>
        <w:gridCol w:w="2213"/>
        <w:gridCol w:w="1588"/>
        <w:gridCol w:w="1797"/>
        <w:gridCol w:w="1798"/>
        <w:gridCol w:w="1170"/>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Жүзағаш бұлағы (оң жағал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