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bd1f" w14:textId="f54b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2018 жылғы 28 желтоқсандағы № 36-242-VІ "2019-2021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2019 жылғы 24 желтоқсандағы № 53-334-VI шешiмi. Түркістан облысының Әдiлет департаментiнде 2019 жылғы 27 желтоқсанда № 5335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2019 жылғы 20 желтоқсандағы № 52-319-VI "Шардара аудандық мәслихатының 2018 жылғы 21 желтоқсандағы № 35-227-VI "2019-2021 жылдарға арналған аудандық бюджет туралы" шешіміне өзгерістер енгізу туралы" Нормативтік құқықтық актілерді мемлекеттік тіркеу тізілімінде № 5316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2018 жылғы 28 желтоқсандағы № 36-242-VI ""2019-2021 жылдарға арналған қала, ауылдық округтердің бюджеті туралы" (Нормативтік құқықтық актілерді мемлекеттік тіркеу тізілімінде № 4888 тіркелген, 2019 жылдың 18 қаңтардағы "Шартарап-Шарайна" газетінде және 2019 жылғы 24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2019-2021 жылдарға арналған бюджеті тиісінше 1, 2 және 3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835 380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123 414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711 616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түсiмi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18 194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2019-2021 жылдарға арналған бюджеті тиісінше 4, 5 және 6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110 819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100 418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- 4 592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4 592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2019-2021 жылдарға арналған бюджеті тиісінше 7, 8 және 9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250 714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243 159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258 997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- 8 283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2019-2021 жылдарға арналған бюджеті тиісінше 10, 11 және 12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84 531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2019-2021 жылдарға арналған бюджеті тиісінше 13, 14 және 15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165 568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156 613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187 571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- 22 003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– 22 003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2019-2021 жылдарға арналған бюджеті тиісінше 16, 17 және 18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60 640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2019-2021 жылдарға арналған бюджеті тиісінше 19, 20 және 21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81 534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77 280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2019-2021 жылдарға арналған бюджеті тиісінше 22, 23 және 24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96 087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92 101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1 947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2019-2021 жылдарға арналған бюджеті тиісінше 25, 26 және 27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106 515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103 849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2019-2021 жылдарға арналған бюджеті тиісінше 28, 29 және 30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86 110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қаржыактивтерiнсатыпалу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мемлекеттiңқаржыактивтерiнсатудантүсетiнтүсiмдер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– 1 821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2019-2021 жылдарға арналған бюджеті тиісінше 31, 32 және 33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99 581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95 769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108 987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9 406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Ұзыната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2019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