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e6e2" w14:textId="d9ee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гектар үшін кен іздеушіліктің салдарын жою бойынша жер қойнауын пайдаланушы міндеттемелерінің орындалуын қамтамасыз ету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2019 жылғы 15 қазандағы № 235 қаулысы. Түркістан облысының Әдiлет департаментiнде 2019 жылғы 17 қазанда № 5221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қойнауы және жер қойнауын пайдалану туралы" Қазақстан Республикасының 2017 жылғы 27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274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 гектар үшін кен іздеушіліктің салдарын жою бойынша жер қойнауын пайдаланушы міндеттемелерінің орындалуын қамтамасыз ету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заңнамалық актілерінде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М.И. Мырзалиевке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М.И. Мырзалиев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М.Н.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гектар үшін кен іздеушіліктің салдарын жою бойынша жер қойнауын пайдаланушы міндеттемелерінің орындалуын қамтамасыз ету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әкiмдiгiнiң 08.01.2021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Есептің бірінші жылы мен үшінші жылы аралығын қоса алған мерзімдегі кен іздеушіліктің салдарын жою бойынша бір гектар үшін қамтамасыз етудің мөлшері Кодекстің 210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саф металдарды өндіру жөніндегі операцияларға арналған жыл сайынғы ең төменгі шығыстардың және республикалық бюджет туралы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тиісті қаржы жылына белгіленген жылы кен іздеушілікке арналған лицензияны беруге өтініш берілген жылы қолданыста болған айлық есептік көрсеткіштің 10 % (пайыз) мөлшерінде төмендегі формуламен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Q=3170 х АЕК х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Q- кен іздеушілік салдарын жою бойынша бір гектар үшін қамтамасыз ету мөлшері;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3170- саф металдары өндіру жөніндегі операцияларға арналған жыл сайынғы ең төмен шығыстардың еселенген айлық есептік көрсеткіштің мөлшері;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АЕК- республикалық бюджет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қаржылық жылға сәйкес бекітілген айлық есептік көрсеткіш.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%- пайыз белгісі.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