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87fa" w14:textId="f5a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04 желтоқсандағы №150-V "Алушылар санатының тізбесін және әлеуметтік көмектің шекті мөлшерлерін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26 сәуірдегі № 237-VI шешімі. Атырау облысының Әділет департаментінде 2019 жылғы 2 мамырда № 4390 болып тіркелді. Күші жойылды - Атырау облысы Исатай аудандық мәслихатының 2021 жылғы 6 желтоқсандағы № 83-VII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қаулысын қарап, Исатай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04 желтоқсандағы № 150-V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тізіліміне № 2804 санымен тіркелген, "Нарын-таңы" газетінде 2013 жылғы 20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6), 7), 8) тармақшаларымен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атом электр станциясындағы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адамдарға;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1988-1989 жылдардағы Чернобыль атом электр станциясындағы апаттың зардаптарын жоюға қатысушылар ішінен оқшаулау және көшіру жүргізілген аймақтан Қазақстан Республикасына көшірілген (өз еркiмен көшкен), көшірілген күнi анасының құрсағындағы болған балаларға;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Чернобыль атом электр станциясындағы апаттың, азаматтық немесе әскери мақсаттағы объектілердегі басқа да радиациялық апаттар мен авариялардың, ядролық қаруды сынаудың салдарынан мүгедек болған адамдарға, сондай-ақ ата-анасының бірінің радиациялық сәуле алуы себебінен генетикалық жағынан мүгедек болып қалған олардың балаларына".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Исатай аудандық мәслихатының әлеуметтік мәселелер, гендерлік саясат, үкіметтік емес ұйымдармен байланыс жөніндегі тұрақты комиссиясына (Л. Мутянова)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шілдесінен бастап туындаған құқықтық қатынастарға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