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8f19" w14:textId="42a8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2018 жылғы 29 желтоқсандағы № 25-13 "2019-2021 жылдарға арналған Мағжан Жұмабаев ауданы Булаев қаласының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2019 жылғы 14 маусымдағы № 30-4 шешімі. Солтүстік Қазақстан облысының Әділет департаментінде 2019 жылғы 21 маусымда № 5454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2018 жылғы 29 желтоқсандағы № 25-13 "2019-2021 жылдарға арналған Мағжан Жұмабаев ауданы Булаев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5133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Мағжан Жұмабаев ауданы Булаев қаласының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246 335,2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45 545,0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200 790,2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257 672,9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(-11 337,7)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11 337,7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11 337,7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5), 6), 7), 8), 9), 10)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көшелерді жарықтандыруға;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санитарияны қамтамасыз етуге;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жерлеу орындарын ұстау және туыстары жоқ адамдарды жерлеуге;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Булаев қаласын абаттандыруға;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Булаев қаласындағы автомобиль жолдарының жұмыс істеуін қамтамасыз етуге;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мемлекеттік әкімшілік қызметшілердің жекелеген санаттарының жалақысын көтеруге.";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2019 жылғы 14 маусымдағы № 30-4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29 желтоқсандағы № 25-13 шешіміне 1-қосымша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2019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246 335,2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200 790,2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200 790,2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257 672,9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163 281,4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163 281,4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-11 337,7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