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78b9" w14:textId="b3b7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25-12 "2019-2021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14 маусымдағы № 30-3 шешімі. Солтүстік Қазақстан облысының Әділет департаментінде 2019 жылғы 21 маусымда № 5453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25-12 "2019-2021 жылдарға арналған Мағжан Жұмабаев ауданы Қарақоға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21 828,0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14 308,0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23 855,9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(-2 027,9)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2 027,9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2 027,9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Қарақоға ауылдық округінің 2019 жылға арналған бюджетінде аудан бюджетінен ағымдағы нысаналы трансферттердің түсімі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автокөлік сатып алуға;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әкімшілік қызметшілердің жекелеген санаттарының жалақысын көтеруге.";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14 маусымдағы № 30-3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25-12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7 520,0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