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72d5" w14:textId="63c7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25-11 "2019-2021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14 маусымдағы № 30-2 шешімі. Солтүстік Қазақстан облысының Әділет департаментінде 2019 жылғы 21 маусымда № 5448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25-11 "2019-2021 жылдарға арналған Мағжан Жұмабаев ауданы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37 097,0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27 962,0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(-2 414,8)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2 414,8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Возвышенка ауылындағы автомобиль жолдарының жұмыс істеуін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әкімшілік қызметшілердің жекелеген санаттарының жалақысын көтеруге.";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14 маусымдағы № 30-2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25-11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