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ff09" w14:textId="1eef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 Петропавл қалалық мәслихатының 2018 жылғы 27 тамыздағы № 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2019 жылғы 29 наурыздағы № 1 шешімі. Солтүстік Қазақстан облысының Әділет департаментінде 2019 жылғы 11 сәуірде № 5336 болып тіркелді Күші жойылды - Солтүстік Қазақстан облысы Петропавл қалалық мәслихатының 2022 жылғы 27 желтоқсандағы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қалалық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Республикасының 2001 жылғы 23 қаңтардағы Заңының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2018 жылғы 27 тамыздағы № 4 "Коммуналдық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электрондық түрдегі эталондық бақылау банкінде 2018 жылғы 12 қазанда жарияланған, нормативтік құқықтық актілерінің мемлекеттік тіркеу тізілімінде № 4915 болып тіркелді)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Витченко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 29 наурыздағы № 1 шешіміне № 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тұрғын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Жатақханалар, интернаттар, балалар үйлері, қарттар үйлері және сол сияқтылар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алаңы 1 м2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шеберханалары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 Ескертпе: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м2 - шаршы метр;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м3 - текше метр.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 29 наурыздағы № 1 шешіміне № 2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Тұрмыстық қатты қалдықтарды жинауға, әкетуге және көмуге тарифтері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тұрмыстық қатты қалдықтарды жинау, әкету үшін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1 адамға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тұрмыстық қатты қалдықтарды жинау, әкету үшін тарифі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текше метрге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 тарифі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