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d0f9" w14:textId="e15d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29 желтоқсандағы "Техникалық және кәсіптік, орта білімнен кейінгі білім беру саласында көрсетілетін мемлекеттік қызметтер регламенттерін бекіту туралы" № 366/13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13 қарашадағы № 329/3 қаулысы. Павлодар облысының Әділет департаментінде 2019 жылғы 25 қарашада № 6622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29 желтоқсандағы "Техникалық және кәсіптік, орта білімнен кейінгі білім беру саласында көрсетілетін мемлекеттік қызметтер регламенттерін бекіту туралы" № 366/13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4914 болып тіркелген, 2016 жылғы 12 ақпанда "Регион.kz"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А. Р. Ораловқа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329/3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366/13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w:t>
      </w:r>
      <w:r>
        <w:br/>
      </w:r>
      <w:r>
        <w:rPr>
          <w:rFonts w:ascii="Times New Roman"/>
          <w:b/>
          <w:i w:val="false"/>
          <w:color w:val="000000"/>
        </w:rPr>
        <w:t>адамдарға анықтама беру"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Павлодар облысының техникалық және кәсіптік, орта білімнен кейінгі білім беру ұйымдары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 көрсету нысаны: қағаз жүзінде.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(бұдан әрі - Анықтама) беру.</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қоса бере отырып, көрсетілетін қызметті алушының өтініші мемлекеттік қызметті көрсету бойынша рәсімді (іс-қимылды) бастауға негіз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көрсетілетін қызметті берушінің орналасқан жері бойынша көрсетілетін қызметті берушіге құжаттарды тапсырған күннен бастап мемлекеттік қызмет көрсету мерзімі – 3 (үш)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береді немесе Мемлекеттік корпорацияға жібереді - 30 (отыз) минут.</w:t>
      </w:r>
    </w:p>
    <w:p>
      <w:pPr>
        <w:spacing w:after="0"/>
        <w:ind w:left="0"/>
        <w:jc w:val="both"/>
      </w:pPr>
      <w:r>
        <w:rPr>
          <w:rFonts w:ascii="Times New Roman"/>
          <w:b w:val="false"/>
          <w:i w:val="false"/>
          <w:color w:val="000000"/>
          <w:sz w:val="28"/>
        </w:rPr>
        <w:t>
      Көрсетілетін қызметті берушінің орналасқан жері бойынша емес құжаттарды тапсырған күннен бастап – 8 (сегіз)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 - 6 (алты)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береді немесе Мемлекеттік корпорацияға жібереді – 30 (отыз) минут.</w:t>
      </w:r>
    </w:p>
    <w:bookmarkStart w:name="z16" w:id="14"/>
    <w:p>
      <w:pPr>
        <w:spacing w:after="0"/>
        <w:ind w:left="0"/>
        <w:jc w:val="both"/>
      </w:pPr>
      <w:r>
        <w:rPr>
          <w:rFonts w:ascii="Times New Roman"/>
          <w:b w:val="false"/>
          <w:i w:val="false"/>
          <w:color w:val="000000"/>
          <w:sz w:val="28"/>
        </w:rPr>
        <w:t>
      6. Мемлекеттік қызмет көрсету рәсімінің (іс-қимылдың) нәтижесі:</w:t>
      </w:r>
    </w:p>
    <w:bookmarkEnd w:id="14"/>
    <w:p>
      <w:pPr>
        <w:spacing w:after="0"/>
        <w:ind w:left="0"/>
        <w:jc w:val="both"/>
      </w:pPr>
      <w:r>
        <w:rPr>
          <w:rFonts w:ascii="Times New Roman"/>
          <w:b w:val="false"/>
          <w:i w:val="false"/>
          <w:color w:val="000000"/>
          <w:sz w:val="28"/>
        </w:rPr>
        <w:t>
      1) ұсынылған құжаттарды қабылдау, толықтығын тексеру және тіркеу;</w:t>
      </w:r>
    </w:p>
    <w:p>
      <w:pPr>
        <w:spacing w:after="0"/>
        <w:ind w:left="0"/>
        <w:jc w:val="both"/>
      </w:pPr>
      <w:r>
        <w:rPr>
          <w:rFonts w:ascii="Times New Roman"/>
          <w:b w:val="false"/>
          <w:i w:val="false"/>
          <w:color w:val="000000"/>
          <w:sz w:val="28"/>
        </w:rPr>
        <w:t>
      2) өтінішті қарастыру,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не Мемлекеттік корпорацияға жіберу.</w:t>
      </w:r>
    </w:p>
    <w:bookmarkStart w:name="z17" w:id="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
    <w:bookmarkStart w:name="z20" w:id="18"/>
    <w:p>
      <w:pPr>
        <w:spacing w:after="0"/>
        <w:ind w:left="0"/>
        <w:jc w:val="left"/>
      </w:pPr>
      <w:r>
        <w:rPr>
          <w:rFonts w:ascii="Times New Roman"/>
          <w:b/>
          <w:i w:val="false"/>
          <w:color w:val="000000"/>
        </w:rPr>
        <w:t xml:space="preserve"> 4.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қызметті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19"/>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күннен бастап көрсетілетін қызметті берушінің орналасқан жері бойынша – 3 (үш) жұмыс күні, көрсетілетін қызметті берушінің орналасқан жері бойынша емес – 8 (сегіз) жұмыс күні;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корпорацияда – 15 (он бес) минут;</w:t>
      </w:r>
    </w:p>
    <w:p>
      <w:pPr>
        <w:spacing w:after="0"/>
        <w:ind w:left="0"/>
        <w:jc w:val="both"/>
      </w:pPr>
      <w:r>
        <w:rPr>
          <w:rFonts w:ascii="Times New Roman"/>
          <w:b w:val="false"/>
          <w:i w:val="false"/>
          <w:color w:val="000000"/>
          <w:sz w:val="28"/>
        </w:rPr>
        <w:t>
      3) көрсетілген қызметті алушыға көрсетілетін қызметті берушіде қызмет көрсетудің рұқсат етілген ең ұзақ уақыты – 30 (отыз) минут, Мемлекеттік корпорацияда – 15 (он бес)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қызметті көрсету нәтижесін мемлекеттік қызметті көрсету мерзімі өтпестен бұрын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қызметкері ұсынылған құжаттарды тексереді, қабылдайды және тіркейді, құжаттарды қабылдау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көрсетілетін қызметті алушының ақпараттық жүйелердегі заңмен қорғалатын құпияны құрайтын мәліметтерді пайдалануға келісімін алады.</w:t>
      </w:r>
    </w:p>
    <w:bookmarkStart w:name="z22" w:id="20"/>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20"/>
    <w:p>
      <w:pPr>
        <w:spacing w:after="0"/>
        <w:ind w:left="0"/>
        <w:jc w:val="both"/>
      </w:pPr>
      <w:r>
        <w:rPr>
          <w:rFonts w:ascii="Times New Roman"/>
          <w:b w:val="false"/>
          <w:i w:val="false"/>
          <w:color w:val="000000"/>
          <w:sz w:val="28"/>
        </w:rPr>
        <w:t>
      Мемлекеттік корпорацияға жеке басын куәландыратын құжатты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қызметті көрсету нәтижесін жолдайды.</w:t>
      </w:r>
    </w:p>
    <w:bookmarkStart w:name="z23" w:id="21"/>
    <w:p>
      <w:pPr>
        <w:spacing w:after="0"/>
        <w:ind w:left="0"/>
        <w:jc w:val="both"/>
      </w:pPr>
      <w:r>
        <w:rPr>
          <w:rFonts w:ascii="Times New Roman"/>
          <w:b w:val="false"/>
          <w:i w:val="false"/>
          <w:color w:val="000000"/>
          <w:sz w:val="28"/>
        </w:rPr>
        <w:t>
      11. Мемлекеттік көрсетілетін қызмет "электрондық үкіметтің" www.egov.kz веб-порталы арқылы көрсетілмейді.</w:t>
      </w:r>
    </w:p>
    <w:bookmarkEnd w:id="21"/>
    <w:bookmarkStart w:name="z24" w:id="22"/>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көрсетілетін қызметті берушілермен және (немесе)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Әрбір рәсімнің (іс-қимылдың) ұзақтығын көрсете отырып, құрылымдық</w:t>
      </w:r>
      <w:r>
        <w:br/>
      </w:r>
      <w:r>
        <w:rPr>
          <w:rFonts w:ascii="Times New Roman"/>
          <w:b/>
          <w:i w:val="false"/>
          <w:color w:val="000000"/>
        </w:rPr>
        <w:t>бөлімшелер (қызметкерлер) арасындағы рәсімдер (іс-қимылдар) реттілігін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752"/>
        <w:gridCol w:w="1273"/>
        <w:gridCol w:w="1367"/>
        <w:gridCol w:w="4731"/>
        <w:gridCol w:w="1230"/>
        <w:gridCol w:w="1515"/>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процестін ( жұмыс барысының, ағымының) іс-қимылы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барысының, ағымының)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(операция, процесс, рәсімдер) атауы және оларды сипаттау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қабылдайды, толықтығын тексереді және тіркейді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қараcтырады және көрсетілетін қызметті берушінің жауапты орындаушысын анықтайды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дайындайды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қояды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қарастыруға береді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қарастыруға береді</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басшысына қарастыруға береді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кеңсе қызметкеріне қарастыруға береді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береді немесе Мемлекеттік корпорацияға жібереді</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1 (бір) жұмыс күні; көрсетілетін қызметті берушінің орналасқан жері бойынша емес жағдайда - 6 (алты) жұмыс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- 3 (үш) жұмыс күні;</w:t>
            </w:r>
            <w:r>
              <w:br/>
            </w:r>
            <w:r>
              <w:rPr>
                <w:rFonts w:ascii="Times New Roman"/>
                <w:b w:val="false"/>
                <w:i w:val="false"/>
                <w:color w:val="000000"/>
                <w:sz w:val="20"/>
              </w:rPr>
              <w:t>
көрсетілетін қызметті берушінің орналасқан жері бойынша емес жағдайда - 8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w:t>
      </w:r>
      <w:r>
        <w:br/>
      </w:r>
      <w:r>
        <w:rPr>
          <w:rFonts w:ascii="Times New Roman"/>
          <w:b/>
          <w:i w:val="false"/>
          <w:color w:val="000000"/>
        </w:rPr>
        <w:t xml:space="preserve">анықтама беру" мемлекеттік қызмет көрсетудің бизнес-процестерінің анықтамалығы </w:t>
      </w:r>
    </w:p>
    <w:bookmarkEnd w:id="24"/>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501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00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