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2598" w14:textId="b282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білім беру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13 қарашадағы № 330/3 қаулысы. Павлодар облысының Әділет департаментінде 2019 жылғы 22 қарашада № 6616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28 қарашадағы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 384/6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5731 болып тіркелген, 2017 жылғы 26 желтоқсанда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2017 жылғы 28 қарашадағы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 385/6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5734 болып тіркелген, 2017 жылғы 22 желтоқсанда Қазақстан Республикасы нормативтік құқықтық актілерінің эталондық бақылау банкінде жарияланған) келесі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3. "Павлодар облысының білім беру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А. Р. Ораловқа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330/3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384/6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"Техникалық, кәсіптік және орта білімнен кейінгі білімі бар</w:t>
      </w:r>
      <w:r>
        <w:br/>
      </w:r>
      <w:r>
        <w:rPr>
          <w:rFonts w:ascii="Times New Roman"/>
          <w:b/>
          <w:i w:val="false"/>
          <w:color w:val="000000"/>
        </w:rPr>
        <w:t>кадрларды даярлауға арналған мемлекеттік білім беру тапсырысын</w:t>
      </w:r>
      <w:r>
        <w:br/>
      </w:r>
      <w:r>
        <w:rPr>
          <w:rFonts w:ascii="Times New Roman"/>
          <w:b/>
          <w:i w:val="false"/>
          <w:color w:val="000000"/>
        </w:rPr>
        <w:t>орналастыру бойынша конкурсқа құжаттарды қабылдау"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"Павлодар облысының білім беру басқармасы" мемлекеттік мекемесі және қалалар мен аудандардың білім беру бөлімдері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қағаз жүзінде.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(бұдан әрі – Хабарлама) еркін нысан бойынша немесе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(Нормативтік құқықтық актілерді мемлекеттік тіркеу тізілімінде № 15740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15" w:id="1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көрсетілетін қызметті алушының өтініші мемлекеттік қызмет көрсету бойынша рәсімді (іс-қимылды) бастауға негіздеме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 қарастырады және қол қояды - 15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тіркейді және Мемлекеттік корпорацияға жібереді - 15 (он бес) минут.</w:t>
      </w:r>
    </w:p>
    <w:bookmarkStart w:name="z18" w:id="16"/>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қарастыруға жіберу;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қызметті көрсету нәтижесін қарастыру және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жіберу.</w:t>
      </w:r>
    </w:p>
    <w:bookmarkStart w:name="z19"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9"/>
    <w:bookmarkStart w:name="z22" w:id="20"/>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21"/>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 бұрын жеткізуді қамтамасыз етеді;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Егер Қазақстан Республикасының зандарында өзгеше көзделмесе, Мемлекеттік корпорацияның қызметкері мемлекеттік қызметті көрсету кезінде заңмен қорғалатын құпияны қамтитын, ақпараттық жүйелердегі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Start w:name="z24" w:id="22"/>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2"/>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25" w:id="23"/>
    <w:p>
      <w:pPr>
        <w:spacing w:after="0"/>
        <w:ind w:left="0"/>
        <w:jc w:val="both"/>
      </w:pPr>
      <w:r>
        <w:rPr>
          <w:rFonts w:ascii="Times New Roman"/>
          <w:b w:val="false"/>
          <w:i w:val="false"/>
          <w:color w:val="000000"/>
          <w:sz w:val="28"/>
        </w:rPr>
        <w:t>
      11. Мемлекеттік көрсетілетін қызмет "электрондық үкіметтің" www.egov.kz веб-порталы арқылы көрсетілмейді.</w:t>
      </w:r>
    </w:p>
    <w:bookmarkEnd w:id="23"/>
    <w:bookmarkStart w:name="z26" w:id="24"/>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көрсетілетін қызметті берушілермен және (немесе)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Әрбір рәсімнің (іс-қимылдың)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868"/>
        <w:gridCol w:w="2008"/>
        <w:gridCol w:w="1546"/>
        <w:gridCol w:w="3290"/>
        <w:gridCol w:w="1547"/>
        <w:gridCol w:w="1547"/>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(процестің, операцияның рәсімдер) және оларды сипаттау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 және көрсетілетін қызметті берушінің басшысына қарастыруға береді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көрсетілетін қызметті берушінің жауапты орындаушысын анықтайды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ресімдейді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мемлекеттік қызмет көрсету нәтижесіне қол қояды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 және Мемлекеттік корпорацияға жібереді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немесе мемлекеттік қызмет көрсетуден бас тарту туралы дәлелді жауапты көрсетілетін қызметті берушінің басшысына қарастыруға және қол қоюға береді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"Техникалық, кәсіптік және орта білімнен кейінгі білімі бар</w:t>
      </w:r>
      <w:r>
        <w:br/>
      </w:r>
      <w:r>
        <w:rPr>
          <w:rFonts w:ascii="Times New Roman"/>
          <w:b/>
          <w:i w:val="false"/>
          <w:color w:val="000000"/>
        </w:rPr>
        <w:t>кадрларды даярлауға арналған мемлекеттік білім беру</w:t>
      </w:r>
      <w:r>
        <w:br/>
      </w:r>
      <w:r>
        <w:rPr>
          <w:rFonts w:ascii="Times New Roman"/>
          <w:b/>
          <w:i w:val="false"/>
          <w:color w:val="000000"/>
        </w:rPr>
        <w:t>тапсырысын орналастыру бойынша конкурсқа құжаттарды қабылдау"</w:t>
      </w:r>
      <w:r>
        <w:br/>
      </w:r>
      <w:r>
        <w:rPr>
          <w:rFonts w:ascii="Times New Roman"/>
          <w:b/>
          <w:i w:val="false"/>
          <w:color w:val="000000"/>
        </w:rPr>
        <w:t xml:space="preserve">мемлекеттік қызмет көрсетудің бизнес-процестерінің анықтамалығы </w:t>
      </w:r>
    </w:p>
    <w:bookmarkEnd w:id="26"/>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31"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330/3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385/6 қаулысымен</w:t>
            </w:r>
            <w:r>
              <w:br/>
            </w:r>
            <w:r>
              <w:rPr>
                <w:rFonts w:ascii="Times New Roman"/>
                <w:b w:val="false"/>
                <w:i w:val="false"/>
                <w:color w:val="000000"/>
                <w:sz w:val="20"/>
              </w:rPr>
              <w:t>бекітілді</w:t>
            </w:r>
          </w:p>
        </w:tc>
      </w:tr>
    </w:tbl>
    <w:bookmarkStart w:name="z33" w:id="28"/>
    <w:p>
      <w:pPr>
        <w:spacing w:after="0"/>
        <w:ind w:left="0"/>
        <w:jc w:val="left"/>
      </w:pPr>
      <w:r>
        <w:rPr>
          <w:rFonts w:ascii="Times New Roman"/>
          <w:b/>
          <w:i w:val="false"/>
          <w:color w:val="000000"/>
        </w:rPr>
        <w:t xml:space="preserve"> "Техникалық және кәсіптік, орта білімнен кейінгі және</w:t>
      </w:r>
      <w:r>
        <w:br/>
      </w:r>
      <w:r>
        <w:rPr>
          <w:rFonts w:ascii="Times New Roman"/>
          <w:b/>
          <w:i w:val="false"/>
          <w:color w:val="000000"/>
        </w:rPr>
        <w:t>жоғары білім беру ұйымдарындағы тәрбиеленушілер мен</w:t>
      </w:r>
      <w:r>
        <w:br/>
      </w:r>
      <w:r>
        <w:rPr>
          <w:rFonts w:ascii="Times New Roman"/>
          <w:b/>
          <w:i w:val="false"/>
          <w:color w:val="000000"/>
        </w:rPr>
        <w:t>білім алушылардың жекелеген санаттағы азаматтарына, сондай-ақ,</w:t>
      </w:r>
      <w:r>
        <w:br/>
      </w:r>
      <w:r>
        <w:rPr>
          <w:rFonts w:ascii="Times New Roman"/>
          <w:b/>
          <w:i w:val="false"/>
          <w:color w:val="000000"/>
        </w:rPr>
        <w:t>қорғаншылық (қамқоршылықтағы) пен патронаттағы тұлғаларына тегін</w:t>
      </w:r>
      <w:r>
        <w:br/>
      </w:r>
      <w:r>
        <w:rPr>
          <w:rFonts w:ascii="Times New Roman"/>
          <w:b/>
          <w:i w:val="false"/>
          <w:color w:val="000000"/>
        </w:rPr>
        <w:t>тамақтандыруды ұсыну" мемлекеттік көрсетілетін қызмет регламенті</w:t>
      </w:r>
    </w:p>
    <w:bookmarkEnd w:id="28"/>
    <w:bookmarkStart w:name="z34" w:id="29"/>
    <w:p>
      <w:pPr>
        <w:spacing w:after="0"/>
        <w:ind w:left="0"/>
        <w:jc w:val="left"/>
      </w:pPr>
      <w:r>
        <w:rPr>
          <w:rFonts w:ascii="Times New Roman"/>
          <w:b/>
          <w:i w:val="false"/>
          <w:color w:val="000000"/>
        </w:rPr>
        <w:t xml:space="preserve"> 1. Жалпы ережелер</w:t>
      </w:r>
    </w:p>
    <w:bookmarkEnd w:id="29"/>
    <w:bookmarkStart w:name="z35" w:id="30"/>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Павлодар облысының техникалық және кәсіптік, орта білімнен кейінгі, жоғары оқу орындары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арқылы жүзеге асырылады.</w:t>
      </w:r>
    </w:p>
    <w:bookmarkStart w:name="z36" w:id="31"/>
    <w:p>
      <w:pPr>
        <w:spacing w:after="0"/>
        <w:ind w:left="0"/>
        <w:jc w:val="both"/>
      </w:pPr>
      <w:r>
        <w:rPr>
          <w:rFonts w:ascii="Times New Roman"/>
          <w:b w:val="false"/>
          <w:i w:val="false"/>
          <w:color w:val="000000"/>
          <w:sz w:val="28"/>
        </w:rPr>
        <w:t>
      2. Мемлекеттік қызметті көрсету нысаны: қағаз жүзінде.</w:t>
      </w:r>
    </w:p>
    <w:bookmarkEnd w:id="31"/>
    <w:bookmarkStart w:name="z37" w:id="3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2017 жылғы 7 тамыздағы № 396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стандартының (бұдан әрі - Стандарт), (Нормативтік құқықтық актілерді мемлекеттік тіркеу тізілімінде № 15744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(бұдан әрі – Хабарлама).</w:t>
      </w:r>
    </w:p>
    <w:bookmarkEnd w:id="32"/>
    <w:p>
      <w:pPr>
        <w:spacing w:after="0"/>
        <w:ind w:left="0"/>
        <w:jc w:val="both"/>
      </w:pPr>
      <w:r>
        <w:rPr>
          <w:rFonts w:ascii="Times New Roman"/>
          <w:b w:val="false"/>
          <w:i w:val="false"/>
          <w:color w:val="000000"/>
          <w:sz w:val="28"/>
        </w:rPr>
        <w:t>
      Мемлекеттік қызмет көрсету нәтижесін беру беру нысаны: электронды/қағаз жүзінде.</w:t>
      </w:r>
    </w:p>
    <w:bookmarkStart w:name="z38" w:id="3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3"/>
    <w:bookmarkStart w:name="z39" w:id="3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көрсетілетін қызметті алушының өтініші мемлекеттік қызмет көрсету бойынша рәсімді (іс-қимылды) бастауға негіздеме болып табылады.</w:t>
      </w:r>
    </w:p>
    <w:bookmarkEnd w:id="34"/>
    <w:bookmarkStart w:name="z40"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құжаттарды қарастырады және мемлекеттік қызмет көрсету нәтижесіне қол қояды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немесе Мемлекеттік корпорацияға не портал арқылы көрсетілетін қызметті алушының "жеке кабинетіне" жібереді – 15 (он бес) минут.</w:t>
      </w:r>
    </w:p>
    <w:bookmarkStart w:name="z41" w:id="36"/>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3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қарастыруға 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қызметті көрсету нәтижесін қарастыру және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жіберу.</w:t>
      </w:r>
    </w:p>
    <w:bookmarkStart w:name="z42"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7"/>
    <w:bookmarkStart w:name="z43"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4" w:id="3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қоса беріледі.</w:t>
      </w:r>
    </w:p>
    <w:bookmarkEnd w:id="39"/>
    <w:bookmarkStart w:name="z45" w:id="40"/>
    <w:p>
      <w:pPr>
        <w:spacing w:after="0"/>
        <w:ind w:left="0"/>
        <w:jc w:val="left"/>
      </w:pPr>
      <w:r>
        <w:rPr>
          <w:rFonts w:ascii="Times New Roman"/>
          <w:b/>
          <w:i w:val="false"/>
          <w:color w:val="000000"/>
        </w:rPr>
        <w:t xml:space="preserve"> 4. Мемлекеттік қызметті көрсету процесінде Мемлекеттік корпорация</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40"/>
    <w:bookmarkStart w:name="z46" w:id="41"/>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берушінің сұрауын өңдеу ұзақтығы:</w:t>
      </w:r>
    </w:p>
    <w:bookmarkEnd w:id="41"/>
    <w:p>
      <w:pPr>
        <w:spacing w:after="0"/>
        <w:ind w:left="0"/>
        <w:jc w:val="both"/>
      </w:pPr>
      <w:r>
        <w:rPr>
          <w:rFonts w:ascii="Times New Roman"/>
          <w:b w:val="false"/>
          <w:i w:val="false"/>
          <w:color w:val="000000"/>
          <w:sz w:val="28"/>
        </w:rPr>
        <w:t xml:space="preserve">
      1)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Мемлекеттік корпорация операторына тапсырады.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өкілдерінің бірінен)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электрондық үкіметтің өңірлік шлюзінің автоматтандырылған жұмыс орнына (бұдан әрі – ЭҮӨШ АЖО)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сұрауын) жіберу.</w:t>
      </w:r>
    </w:p>
    <w:bookmarkStart w:name="z47" w:id="42"/>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 оның ұзақтығы:</w:t>
      </w:r>
    </w:p>
    <w:bookmarkEnd w:id="42"/>
    <w:p>
      <w:pPr>
        <w:spacing w:after="0"/>
        <w:ind w:left="0"/>
        <w:jc w:val="both"/>
      </w:pPr>
      <w:r>
        <w:rPr>
          <w:rFonts w:ascii="Times New Roman"/>
          <w:b w:val="false"/>
          <w:i w:val="false"/>
          <w:color w:val="000000"/>
          <w:sz w:val="28"/>
        </w:rPr>
        <w:t>
      мемлекеттік корпорация қызметкері мемлекеттік қызметті көрсету үшін қажетті көрсетілетін қызметті алушының өтініші мен өзге де құжаттарының тіркеуін жүргізеді және құжаттардың көшірмелерін электрондық нысанында Мемлекеттік корпорация қызметкерінің ЭЦҚ-мен куәландырылған ақпараттық жүйе арқылы көрсетілетін қызметті берушіге жібереді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күнтізбелік күн;</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және мемлекеттік қызмет көрсету нәтижесіне қол қояды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немесе Мемлекеттік корпорацияға не портал арқылы көрсетілетін қызметті алушының "жеке кабинетіне" жібереді – 15 (он бес) минут;</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алушыға мемлекеттік қызметті көрсету нәтижесін береді - 15 (он бес) минут.</w:t>
      </w:r>
    </w:p>
    <w:bookmarkStart w:name="z48" w:id="43"/>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жүгіну және рәсімдер (іс-қимылдар) реттілігін сипаттау:</w:t>
      </w:r>
    </w:p>
    <w:bookmarkEnd w:id="4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сондай-ақ парольдің көмегімен порталда тіркеуді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және парольді енгізуі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 мен пароль арқылы тексеру;</w:t>
      </w:r>
    </w:p>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сұрау салуды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қайтарылғандар (жойылған) тізілімінде болмауын (сұрау салуда көрсетілген ЖСН мен ЭЦҚ тіркеу куәлігінде көрсетілген ЖСН арасындағы)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ЭЦК-мен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көрсетуден бас тарту үшін негізінің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 қалыптастырылған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көрсетілген.</w:t>
      </w:r>
    </w:p>
    <w:bookmarkStart w:name="z49" w:id="44"/>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 толық сипаттау, сондай-ақ мемлекеттік қызметті көрсету процесінде ақпараттық жүйелерді пайдалану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 анықтамалығында көрсетілген.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Әрбір рәсімнің (іс-қимылдың)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832"/>
        <w:gridCol w:w="2208"/>
        <w:gridCol w:w="1516"/>
        <w:gridCol w:w="3226"/>
        <w:gridCol w:w="1516"/>
        <w:gridCol w:w="1517"/>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(процестің, операцияның рәсімдер) және оларды сипаттау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 және көрсетілетін қызметті берушінің басшысына қараcтыруға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көрсетілетін қызметті берушінің жауапты орындаушысын анықтайды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ресімдейді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мемлекеттік қызмет көрсету нәтижесіне қол қояды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 және Мемлекеттік корпорацияға жібереді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немесе мемлекеттік қызмет көрсетуден бас тарту туралы дәлелді жауапты көрсетілетін қызметті берушінің басшысына қарастыруға және қол қоюға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күнтізбелік күн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3" w:id="46"/>
    <w:p>
      <w:pPr>
        <w:spacing w:after="0"/>
        <w:ind w:left="0"/>
        <w:jc w:val="left"/>
      </w:pPr>
      <w:r>
        <w:rPr>
          <w:rFonts w:ascii="Times New Roman"/>
          <w:b/>
          <w:i w:val="false"/>
          <w:color w:val="000000"/>
        </w:rPr>
        <w:t xml:space="preserve"> Портал арқылы мемлекеттік қызметті көрсетуге тартылған</w:t>
      </w:r>
      <w:r>
        <w:br/>
      </w:r>
      <w:r>
        <w:rPr>
          <w:rFonts w:ascii="Times New Roman"/>
          <w:b/>
          <w:i w:val="false"/>
          <w:color w:val="000000"/>
        </w:rPr>
        <w:t xml:space="preserve">ақпараттық жүйелердің функционалдық өзара іс-қимыл диаграммасы </w:t>
      </w:r>
    </w:p>
    <w:bookmarkEnd w:id="4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p>
    <w:bookmarkStart w:name="z54" w:id="47"/>
    <w:p>
      <w:pPr>
        <w:spacing w:after="0"/>
        <w:ind w:left="0"/>
        <w:jc w:val="left"/>
      </w:pPr>
      <w:r>
        <w:rPr>
          <w:rFonts w:ascii="Times New Roman"/>
          <w:b/>
          <w:i w:val="false"/>
          <w:color w:val="000000"/>
        </w:rPr>
        <w:t xml:space="preserve"> Шартты белгілер: </w:t>
      </w:r>
    </w:p>
    <w:bookmarkEnd w:id="47"/>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9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6" w:id="48"/>
    <w:p>
      <w:pPr>
        <w:spacing w:after="0"/>
        <w:ind w:left="0"/>
        <w:jc w:val="left"/>
      </w:pPr>
      <w:r>
        <w:rPr>
          <w:rFonts w:ascii="Times New Roman"/>
          <w:b/>
          <w:i w:val="false"/>
          <w:color w:val="000000"/>
        </w:rPr>
        <w:t xml:space="preserve"> "Техникалық және кәсіптік, орта білімнен кейінгі және</w:t>
      </w:r>
      <w:r>
        <w:br/>
      </w:r>
      <w:r>
        <w:rPr>
          <w:rFonts w:ascii="Times New Roman"/>
          <w:b/>
          <w:i w:val="false"/>
          <w:color w:val="000000"/>
        </w:rPr>
        <w:t>жоғары білім беру ұйымдарындағы тәрбиеленушілер мен</w:t>
      </w:r>
      <w:r>
        <w:br/>
      </w:r>
      <w:r>
        <w:rPr>
          <w:rFonts w:ascii="Times New Roman"/>
          <w:b/>
          <w:i w:val="false"/>
          <w:color w:val="000000"/>
        </w:rPr>
        <w:t>білім алушылардың жекелеген санаттағы азаматтарына,</w:t>
      </w:r>
      <w:r>
        <w:br/>
      </w:r>
      <w:r>
        <w:rPr>
          <w:rFonts w:ascii="Times New Roman"/>
          <w:b/>
          <w:i w:val="false"/>
          <w:color w:val="000000"/>
        </w:rPr>
        <w:t>сондай-ақ, қорғаншылық (қамқоршылықтағы) пен патронаттағы</w:t>
      </w:r>
      <w:r>
        <w:br/>
      </w:r>
      <w:r>
        <w:rPr>
          <w:rFonts w:ascii="Times New Roman"/>
          <w:b/>
          <w:i w:val="false"/>
          <w:color w:val="000000"/>
        </w:rPr>
        <w:t>тұлғаларына тегін тамақтандыруды ұсыну" мемлекеттік</w:t>
      </w:r>
      <w:r>
        <w:br/>
      </w:r>
      <w:r>
        <w:rPr>
          <w:rFonts w:ascii="Times New Roman"/>
          <w:b/>
          <w:i w:val="false"/>
          <w:color w:val="000000"/>
        </w:rPr>
        <w:t xml:space="preserve">қызмет көрсетудің бизнес-процестерінің анықтамалығы </w:t>
      </w:r>
    </w:p>
    <w:bookmarkEnd w:id="48"/>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57"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