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d56b" w14:textId="35ed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29 наурыздағы № 284 шешімі. Қостанай облысының Әділет департаментінде 2019 жылғы 15 сәуірде № 8353 болып тіркелді. Күші жойылды - Қостанай облысы Жітіқара ауданы мәслихатының 2020 жылғы 8 маусымдағы № 414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08.06.2020 </w:t>
      </w:r>
      <w:r>
        <w:rPr>
          <w:rFonts w:ascii="Times New Roman"/>
          <w:b w:val="false"/>
          <w:i w:val="false"/>
          <w:color w:val="ff0000"/>
          <w:sz w:val="28"/>
        </w:rPr>
        <w:t>№ 414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28 сәуірдегі </w:t>
      </w:r>
      <w:r>
        <w:rPr>
          <w:rFonts w:ascii="Times New Roman"/>
          <w:b w:val="false"/>
          <w:i w:val="false"/>
          <w:color w:val="000000"/>
          <w:sz w:val="28"/>
        </w:rPr>
        <w:t>№ 26</w:t>
      </w:r>
      <w:r>
        <w:rPr>
          <w:rFonts w:ascii="Times New Roman"/>
          <w:b w:val="false"/>
          <w:i w:val="false"/>
          <w:color w:val="000000"/>
          <w:sz w:val="28"/>
        </w:rPr>
        <w:t xml:space="preserve"> шешімінің (2016 жылғы 31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6393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