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14a0" w14:textId="89b1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2019 жылғы 29 мамырдағы № 207 қаулысы. Қостанай облысының Әділет департаментінде 2019 жылғы 30 мамырда № 8492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Арқалық қаласының аумағында жалпы алаңы 6,2065 гектар жер учаскелерін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тіліндеріндегі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республиқалық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