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d43d" w14:textId="65ad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220 "Арқалық қаласының 2019 - 2021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2019 жылғы 2 мамырдағы № 245 шешімі. Қостанай облысының Әділет департаментінде 2019 жылғы 3 мамырда № 8398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2019-2021 жылдарға арналған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6954693,5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1834618,0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11320,0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37707,0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5071048,5 мың тенге, оның ішінде субвенциялардың көлемі – 2318311,0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7026029,5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- 26178,0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- 11362,0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- 37540,0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- 45158,0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45158,0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11362,0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37540,0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71336,0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қала бюджетінде облыстық бюджеттен ағымдағы нысаналы трансферттер көлемі 1503775,6 мың теңге сомасында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ағымдағы жөндеуіне 12155,0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12162,0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сыныпқа электрондық кезекті енгізуге 8434,0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150 орынға арналған "Балдырған А" жауапкершілігі шектеулі серіктестігінің мемлекеттік-жекешелік әріптестік есебінен мектепке дейінгі білім беру ұйымдарында мемлекеттік білім беру тапсырысын іске асыруға 45736,0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2017–2021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тұрғын үйді жалдау (жалға алу) бойынша шығындарды өтеуге 798,0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2017–2021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24102,5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 мен автожолдарын орташа жөндеуге 134716,0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көшелерін және автожолдарындағы су өткізу құбырларын ағымдағы жөндеуге 137101,0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127756,0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4674,0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№ 2 жалпы орта білім беретін мектебі" мемлекеттік мекемесінің ғимаратын күрделі жөндеуге 173000,0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жаңғыру" бағдарламасының "Алтын адам" ішкі жобасын іске асыру шеңберінде өңірлік материалдар негізінде 5-7 сыныптар үшін өлкетану бойынша оқу құралын шығару және оларды мектептерге енгізу үшін 717,4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2017–2021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жекеше агенттіктерімен халықты жұмыспен қамту саласындағы көрсетілетін қызметтердің аутсорсингіне 1072,5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 әкімдігінің "Арқалық жылу - энергетикалық компаниясы" мемлекеттік коммуналдық кәсіпорны үшін мазутқа 772868,0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ойын алаңдарын орнатуға 9700,0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мүйiздi iрi қара малының нодулярлы дерматитіне қарсы эпизоотияға қарсы іс-шаралар жүргізуге 3526,0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1300,0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автокөлікті 1 бірліктен сатып алуға 6200,0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тартылған жұмыскерлер жалақысы мөлшерінің жалақының ең төменгі мөлшерінен 1,5 есеге дейін өсуіне 27757,2 мың теңге сомасында.";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1-қосымша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2019 жылға арналған бюджетi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2-қосымша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