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f4e2" w14:textId="e0df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мәслихатының 2012 жылғы 13 сәуірдегі IV сессиясының № 4/36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2019 жылғы 27 желтоқсандағы № VI-52/440 шешімі. Қарағанды облысының Әділет департаментінде 2020 жылғы 5 қаңтарда № 5657 болып тіркелді. Күші жойылды - Қарағанды облысы Қарқаралы аудандық мәслихатының 2024 жылғы 16 мамырдағы № VIII-22/165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2012 жылғы 13 сәуірдегі IV сессиясының № 4/36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8-13-121 тіркелген, 2012 жылғы 19 мамырдағы "Қарқаралы" № 39-40 (11059)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кiрiспесі</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"Осы тұрғын үй көмегін көрсету туралы Қағида (әрі қарай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 мен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кондоминиум обьектісінің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обьектісінің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"21. Тұрғын үй көмегі телекоммуникация желесіне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0"/>
    <w:bookmarkStart w:name="z26" w:id="11"/>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