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d5a" w14:textId="76c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8 мамырдағы № 1619/31 шешімі. Қарағанды облысының Әділет департаментінде 2019 жылғы 15 мамырда № 5335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тіркелген, 2015 жылғы 15 мамырдағы "Әділет" ақпараттық-құқықтық жүйесінде, 2015 жылғы 15 мамырдағы № 19 "Шахтинский вестник"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Шахтинск қаласы мен іргелес Долинка, Новодолинский, Шахан кенттерінде мектепке дейінгі білім беру мекемелерінде тәрбиеленетін және оқитын балалары бар көпбалалы отбасылар;";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көмектің өлшем шегі - 130 айлық есептік көрсеткіштен аспайды.".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