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472e" w14:textId="3284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әкімдігінің 2015 жылғы 5 маусымдағы № 30/06 "Арнайы білім беру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22 қаңтардағы № 04/03 қаулысы. Қарағанды облысының Әділет департаментінде 2019 жылғы 25 қаңтарда № 5168 болып тіркелді. Күші жойылды - Қарағанды облысының әкімдігінің 2020 жылғы 26 наурыздағы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26.03.2020 № 18/01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Білім және ғылым министрінің 2018 жылғы 13 қыркүйектегі № 462 "Арнайы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№ 174 бұйрығына өзгерістер мен толықтырулар енгізу туралы" (Нормативтік құқықтық актілерді мемлекеттік тіркеу тізілімінде № 17567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5 маусымдағы № 30/06 "Арнайы білім беру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3338 болып тіркелген, 2015 жылғы 4 тамызда № 107 (21858) "Индустриальная Караганда", № 122 (22 007) "Орталық Қазақстан", 2015 жылғы 4 тамызда газеттерінде, 2015 жылғы 7 тамызда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"Дамуында проблемалары бар балалар мен жасөспірімдерді оңалту және әлеуметтік бейімдеу"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 нәтижесі "Арнайы білім беру саласындағы жергілікті атқарушы органдар көрсететін мемлекеттік көрсетілетін қызметтер стандарттарын бекіту туралы" Қазақстан Республикасы Білім және ғылым министрінің 2015 жылғы 8 сәуірдегі № 174 бұйрығымен бекітілген "Дамуында проблемалары бар балалар мен жасөспірімдерді оңалту және әлеуметтік бейімдеу" мемлекеттік қызмет көрсету стандартының (Нормативтік құқықтық актілерді тіркеу тізілімінде № 11047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нысан бойынша анықтама болып табылады (бұдан әрі-стандарт).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көрсетудің нәтижесі: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туралы қолхат (еркін нысанда);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үйде жеке тегін оқыту туралы бұйрық.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 әкімдігінің 2015 жылғы 5 маусымдағы № 30/06 "Арнайы білім беру саласындағы мемлекеттік көрсетілетін қызметтер регламенттерін бекіту туралы" қаулысына өзгерістер енгізу туралы" қаулысы алғашқы ресми жарияланған күннен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