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212" w14:textId="a80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5 сәуірдегі № 78 қаулысы. Жамбыл облысының Әділет департаментінде 2019 жылғы 15 сәуірде № 4196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әкімдігінің кейбір қаулыларына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Жамбыл облысы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Жамбыл облысы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тармаққа өзгерістер енгізілді - Жамбыл облысы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"Сәулет, қала құрылысы және құрылыс саласындағы мемлекеттік көрсетілетін қызметтер регламенттерін бекіту туралы" Жамбыл облысы әкімдігінің 2015 жылғы 24 сәуірдегі № 68 қаулысына өзгерістер енгізу туралы" Жамбыл облысы әкімдігінің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1 тармағындағы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5 мамырында "Әділет" ақпараттық-құқықтық жүйесінде жарияланған) күші жойылды деп танылсын.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мемлекеттік сәулет-құрылыс бақылау басқармасы" коммуналдық мемлекеттік мекемесі заңнамада белгіленген тәртіппен: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кейін күнтізбелік он күн ішінде оны ресми жариялауға жіберілуін;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Е.Дауылбаевқа жүктелсiн.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"5"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қызметтің бизнес-процесс анықтамалығы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326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