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d09d" w14:textId="b4cd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24 мамырдағы № 442 қаулысы. Шымкент қаласының Әділет департаментінде 2019 жылғы 30 мамырда № 43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жұмсалған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әкімдігінің</w:t>
            </w:r>
            <w:r>
              <w:br/>
            </w:r>
            <w:r>
              <w:rPr>
                <w:rFonts w:ascii="Times New Roman"/>
                <w:b w:val="false"/>
                <w:i w:val="false"/>
                <w:color w:val="000000"/>
                <w:sz w:val="20"/>
              </w:rPr>
              <w:t>2019 жылғы 24 мамырдағы</w:t>
            </w:r>
            <w:r>
              <w:br/>
            </w:r>
            <w:r>
              <w:rPr>
                <w:rFonts w:ascii="Times New Roman"/>
                <w:b w:val="false"/>
                <w:i w:val="false"/>
                <w:color w:val="000000"/>
                <w:sz w:val="20"/>
              </w:rPr>
              <w:t>№ 442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жұмсалған шығыстардың бір бөлігінің орнын толтыру бойынша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жұмсалған шығыстардың бір бөлігінің орнын толтыру бойынша субсидиялау" мемлекеттік көрсетілетін қызметті (бұдан әрі – мемлекеттік көрсетілетін қызметті)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бекітілген "Агроөнеркәсіптік кешен субъектісі инвестициялық салынымдар кезінде жұмсалған шығыстардың бір бөлігінің орнын толтыру бойынша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"электрондық үкіметтің" веб-порталы www.egov.kz,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алушының өтінімі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мемлекеттік қызметті көрсету мерзімі – 14 (он төрт) жұмыс күні;</w:t>
      </w:r>
    </w:p>
    <w:p>
      <w:pPr>
        <w:spacing w:after="0"/>
        <w:ind w:left="0"/>
        <w:jc w:val="both"/>
      </w:pPr>
      <w:r>
        <w:rPr>
          <w:rFonts w:ascii="Times New Roman"/>
          <w:b w:val="false"/>
          <w:i w:val="false"/>
          <w:color w:val="000000"/>
          <w:sz w:val="28"/>
        </w:rPr>
        <w:t>
      2)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3)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10 (он) жұмыс күні;</w:t>
      </w:r>
    </w:p>
    <w:p>
      <w:pPr>
        <w:spacing w:after="0"/>
        <w:ind w:left="0"/>
        <w:jc w:val="both"/>
      </w:pPr>
      <w:r>
        <w:rPr>
          <w:rFonts w:ascii="Times New Roman"/>
          <w:b w:val="false"/>
          <w:i w:val="false"/>
          <w:color w:val="000000"/>
          <w:sz w:val="28"/>
        </w:rPr>
        <w:t>
      6) көрсетілетін қызметті берушінің басшысы көрсетілетін қызметке қол қою – 1 (бір) жұмыс күні;</w:t>
      </w:r>
    </w:p>
    <w:p>
      <w:pPr>
        <w:spacing w:after="0"/>
        <w:ind w:left="0"/>
        <w:jc w:val="both"/>
      </w:pPr>
      <w:r>
        <w:rPr>
          <w:rFonts w:ascii="Times New Roman"/>
          <w:b w:val="false"/>
          <w:i w:val="false"/>
          <w:color w:val="000000"/>
          <w:sz w:val="28"/>
        </w:rPr>
        <w:t>
      7) кеңсе көрсетілетін қызметті алушыға қызметті беруі нәтижесін "жеке кабинетіне" жолдау – 30 (отыз) минут.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16"/>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10 (он)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1 (бір) жұмыс күні;</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19" w:id="17"/>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17"/>
    <w:bookmarkStart w:name="z20" w:id="18"/>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18"/>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алуышының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инвестициялық салынымдар кезінде</w:t>
            </w:r>
            <w:r>
              <w:br/>
            </w:r>
            <w:r>
              <w:rPr>
                <w:rFonts w:ascii="Times New Roman"/>
                <w:b w:val="false"/>
                <w:i w:val="false"/>
                <w:color w:val="000000"/>
                <w:sz w:val="20"/>
              </w:rPr>
              <w:t>жұмсаған шығыстардың бір бөлігінің</w:t>
            </w:r>
            <w:r>
              <w:br/>
            </w:r>
            <w:r>
              <w:rPr>
                <w:rFonts w:ascii="Times New Roman"/>
                <w:b w:val="false"/>
                <w:i w:val="false"/>
                <w:color w:val="000000"/>
                <w:sz w:val="20"/>
              </w:rPr>
              <w:t>орнын толтыру бойынша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w:t>
            </w:r>
            <w:r>
              <w:br/>
            </w:r>
            <w:r>
              <w:rPr>
                <w:rFonts w:ascii="Times New Roman"/>
                <w:b w:val="false"/>
                <w:i w:val="false"/>
                <w:color w:val="000000"/>
                <w:sz w:val="20"/>
              </w:rPr>
              <w:t>инвестициялық салынымдар кезінде</w:t>
            </w:r>
            <w:r>
              <w:br/>
            </w:r>
            <w:r>
              <w:rPr>
                <w:rFonts w:ascii="Times New Roman"/>
                <w:b w:val="false"/>
                <w:i w:val="false"/>
                <w:color w:val="000000"/>
                <w:sz w:val="20"/>
              </w:rPr>
              <w:t>жұмсаған 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