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d4de" w14:textId="913d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30 қазандағы № 320 шешімі. Ақтөбе облысының Әділет департаментінде 2019 жылғы 5 қарашада № 6441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тіркеудің тізілімінде № 3-8-208 тіркелген,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"6 995 677" сандары "7 555 215" сандарымен ауыстырылсын, оның ішінде:</w:t>
      </w:r>
    </w:p>
    <w:p>
      <w:pPr>
        <w:spacing w:after="0"/>
        <w:ind w:left="0"/>
        <w:jc w:val="both"/>
      </w:pPr>
      <w:r>
        <w:rPr>
          <w:rFonts w:ascii="Times New Roman"/>
          <w:b w:val="false"/>
          <w:i w:val="false"/>
          <w:color w:val="000000"/>
          <w:sz w:val="28"/>
        </w:rPr>
        <w:t>
      трансферттер түсімі – "6 348 447" сандары "6 907 985"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"7 074 091,1" сандары "7 633 629,1"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"154 525" сандары "155 470" сандарымен ауыстырылсын, оның ішінде:</w:t>
      </w:r>
    </w:p>
    <w:p>
      <w:pPr>
        <w:spacing w:after="0"/>
        <w:ind w:left="0"/>
        <w:jc w:val="both"/>
      </w:pPr>
      <w:r>
        <w:rPr>
          <w:rFonts w:ascii="Times New Roman"/>
          <w:b w:val="false"/>
          <w:i w:val="false"/>
          <w:color w:val="000000"/>
          <w:sz w:val="28"/>
        </w:rPr>
        <w:t>
      бюджеттік кредиттер – "185 587" сандары "186 532"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"-232 939,2" сандары "-233 884,1"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"232 939,2" сандары "233 884,1"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"195 000" сандары "307 000"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"61 836" сандары "76 986"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"497 322" сандары "607 322"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рыногын дамытуға бағытталған іс-шараларды іске асыруға – 42 415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275 923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"185 587" сандары "186 532"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"10 000" сандары "14 050"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мәслихатының 2019 жылғы 30 қазандағы № 320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мәслихатының 2019 жылғы 30 қазандағы № 320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