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6b49" w14:textId="5eb6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ауылының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Ырғыз ауылдық округі әкімінің 2019 жылғы 14 наурыздағы № 37 шешімі. Ақтөбе облысының Әділет департаментінде 2019 жылғы 19 наурызда № 6012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Ырғыз ауылы тұрғындарының пікірін ескере отырып және Ақтөбе облыстық ономастикалық комиссиясының 2018 жылғы 20 желтоқсандағы хаттамалық қорытындысы негізінде Ырғыз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ауылының атаусыз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"Әлеукеш Көбеков"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"Әйтеке би"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"Шалқар"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"Арал"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"Сұңқарқия"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"Маңтөбе"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"Темірастау"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"Қабырға"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"Мәні"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"Қосбүйрек"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"Байтақкөл"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"Қызылкөл"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"Құмтоғай"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"Телқара"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"Нарқызыл"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"Құтикөл"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"Айырқызыл"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"Кенесары хан" даңғылы.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Ырғыз ауылдық округі әкімінің орынбасары М. Нұрпейіске тапсырылсын.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