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895c" w14:textId="3be8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Ырғыз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2019 жылғы 12 ақпандағы № 19 қаулысы. Ақтөбе облысы Әділет департаментінің Ырғыз аудандық Әділет басқармасында 2019 жылғы 19 ақпанда № 3-5-206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2019 жылға Ырғыз ауданы бойынша бас бостандығынан айыру орындарынан босатылған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"Ырғыз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Ырғыз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Ырғыз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әкiмiнiң орынбасары А. Шахинге жүктелсiн.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Елеусізов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