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53d1" w14:textId="4985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Ақай ауылдық округі әкімінің 2019 жылғы 10 қаңтардағы № 1 шешімі. Ақтөбе облысы Әділет департаментінің Алға аудандық Әділет басқармасында 2019 жылғы 11 қаңтарда № 3-3-194 болып тіркелді. Күші жойылды - Ақтөбе облысы Алға ауданы Ақай ауылдық округі әкімінің 2019 жылғы 5 сәуірдегі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Ақай ауылдық округі әкімінің 05.04.2019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Министрлігі ветеринариялық бақылау және қадағалау комитетінің Алға аудандық аумақтық инспекциясы бас мемлекеттік ветеринариялық-санитариялық инспекторының 2018 жылдың 29 қарашадағы № 2-6-04/226 ұсынысына сәйкес, Ақай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құтырма ауруының анықталуына байланысты Алға ауданы, Ақай ауылдық округі "Абылай" шаруа қожалығының Қабаш-Тоғай қыстағына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"Ақай ауылдық округі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Алға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Ә.І. Сәрсен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