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a4b1" w14:textId="cb2a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2017 жылғы 21 желтоқсандағы № 272 "Ақтөбе қаласы бойынша сот шешімімен қоммуналдық меншікке түскен болып танылған иесіз қалдықтарды басқару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2019 жылғы 22 қарашадағы № 487 шешімі. Ақтөбе облысының Әділет департаментінде 2019 жылғы 27 қарашада № 6493 болып тіркелді. Күші жойылды - Ақтөбе облысы Ақтөбе қалалық мәслихатының 2021 жылғы 15 желтоқсандағы № 116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15.12.2021 № 116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2017 жылғы 21 желтоқсандағы № 272 "Ақтөбе қаласы бойынша сот шешімімен қоммуналдық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5831 болып тіркелген, 2018 жылғы 22 қаңтарында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Ақтөбе қаласы бойынша сот шешімімен қоммуналдық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меншігіне айналдырылған (түскен) мүлікті есепке алудың, сақтаудың, бағалаудың және одан әрі пайдаланудың кейбір мәселелері"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