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9133" w14:textId="c559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27 ақпандағы № С-20/9 "Біржан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2019 жылғы 15 сәуірдегі № 37/2 шешімі. Ақмола облысының Әділет департаментінде 2019 жылғы 26 сәуірде № 7150 болып тіркелді. Күші жойылды - Ақмола облысы Біржан сал ауданы мәслихатының 2022 жылғы 6 мамырдағы № С-15/4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06.05.2022 </w:t>
      </w:r>
      <w:r>
        <w:rPr>
          <w:rFonts w:ascii="Times New Roman"/>
          <w:b w:val="false"/>
          <w:i w:val="false"/>
          <w:color w:val="ff0000"/>
          <w:sz w:val="28"/>
        </w:rPr>
        <w:t>№ С-15/4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27 ақпандағы № С-20/9 (Нормативтік құқықтық актілерді мемлекеттік тіркеу тізілімінде № 6471 тіркелген, 2018 жылғы 28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Біржан сал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16 реттік нөмірлі жол жаңа редакцияда баяндалсын: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Г.Куртабиева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