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f2c1" w14:textId="112f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2018 жылғы 21 желтоқсандағы № 6С-47-4 "2019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Астрахан аудандық мәслихатының 2019 жылғы 27 қыркүйектегі № 6С-54-3 шешімі. Ақмола облысының Әділет департаментінде 2019 жылғы 30 қыркүйекте № 7403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"2019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2018 жылғы 21 желтоқсандағы № 6С-47-4 (Нормативтік құқықтық актілерді мемлекеттік тіркеу тізілімінде № 6976 тіркелген, 2019 жылғы 4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"1) жүз еселiк айлық есептiк көрсеткiшке тең сомада көтерме жәрдемақы;".</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И.Шеин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