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ef3e" w14:textId="b50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ауданында орналасқан Сарқырама және Қозыкөш өзендерінің учаскелеріне су қорғау аймақтары мен белдеулерін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қыркүйектегі № A-9/430 қаулысы. Ақмола облысының Әділет департаментінде 2019 жылғы 20 қыркүйекте № 7390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ауданында орналасқан Сарқырама және Қозыкөш өзендерінің учаскелеріне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ауданында орналасқан Сарқырама және Қозыкөш өзендерінің учаскелеріне су қорғау аймақтары мен белдеулерін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А-9/430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 Целиноград ауданында орналасқан Сарқырама және Қозыкөш өзендерінің учаскелеріне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және Қозыкөш өзендерінің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Қаражар ауылының оңтүстік-батысынан 200 метр қашықтықта орналасқан жер учаскесінің тұсында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А-9/430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Целиноград ауданында орналасқан Сарқырама және Қозыкөш өзендерінің учаскелеріне су қорғау аймақтары мен белдеулерін шаруашылыққа пайдалану режимі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қаулыcымен.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