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6a1b" w14:textId="ddd6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қаласының аумағында орналасқан Ақсу өзені арнасының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28 ақпандағы № А-2/93 қаулысы. Ақмола облысының Әділет департаментінде 2019 жылғы 6 наурызда № 7094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Степногорск қаласының аумағында орналасқан Ақсу өзені арнасының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Степногорск қаласының аумағында орналасқан Ақсу өзені арнасының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А.С. Үйсімбаевқа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 ақпандағы</w:t>
            </w:r>
            <w:r>
              <w:br/>
            </w:r>
            <w:r>
              <w:rPr>
                <w:rFonts w:ascii="Times New Roman"/>
                <w:b w:val="false"/>
                <w:i w:val="false"/>
                <w:color w:val="000000"/>
                <w:sz w:val="20"/>
              </w:rPr>
              <w:t>№ А-2/93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Степногорск қаласының аумағында орналасқан Ақсу өзені арнасының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қаласының аумағында орналасқан Ақсу өзені арнасының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 ақпандағы</w:t>
            </w:r>
            <w:r>
              <w:br/>
            </w:r>
            <w:r>
              <w:rPr>
                <w:rFonts w:ascii="Times New Roman"/>
                <w:b w:val="false"/>
                <w:i w:val="false"/>
                <w:color w:val="000000"/>
                <w:sz w:val="20"/>
              </w:rPr>
              <w:t>№ А-2/93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Степногорск қаласының аумағында орналасқан Ақсу өзені арнасының учаскесіне су қорғау аймағы мен белдеуін шаруашылыққа пайдалану режимі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w:t>
      </w:r>
      <w:r>
        <w:rPr>
          <w:rFonts w:ascii="Times New Roman"/>
          <w:b w:val="false"/>
          <w:i/>
          <w:color w:val="000000"/>
          <w:sz w:val="28"/>
        </w:rPr>
        <w:t xml:space="preserve"> енгізіледі) қаулысы</w:t>
      </w:r>
      <w:r>
        <w:rPr>
          <w:rFonts w:ascii="Times New Roman"/>
          <w:b w:val="false"/>
          <w:i/>
          <w:color w:val="000000"/>
          <w:sz w:val="28"/>
        </w:rPr>
        <w:t>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