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937e" w14:textId="a349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 жүйелік маңызы бар ұйымдар қатарына жатқызу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23 желтоқсандағы № 240 қаулысы. Қазақстан Республикасының Әділет министрлігінде 2020 жылғы 27 қаңтарда № 19925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27.08.2022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Қаржы ұйымдарын жүйелік маңызы бар ұйымдар қатарына жатқызу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"Қаржы ұйымдарын жүйе құраушылар қатарына жатқызу қағидаларын бекіту туралы" Қазақстан Республикасы Ұлттық Банкі Басқармасының 2014 жылғы 24 желтоқсандағы № 257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10210 болып тіркелген, 2015 жылғы 5 наурызда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2016 жылғы 28 қаңтардағы № 32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13304 болып тіркелген, 2016 жылғы 14 наурызда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Қаржылық тұрақтылық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xml:space="preserve">№ 240 қаулысымен </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Қаржы ұйымдарын жүйелік маңызы бар ұйымдар қатарына жатқызу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Қаржы ұйымдарын жүйелік маңызы бар ұйымдар қатарына жатқызу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Ұлттық Банкінің (бұдан әрі – Ұлттық Банк) макропруденциялық саясатты қалыптастыруы мақсатында қаржы ұйымдарын жүйелік маңызы бар ұйымдар қатарына жатқызу тәртібін айқындайды.</w:t>
      </w:r>
    </w:p>
    <w:bookmarkEnd w:id="14"/>
    <w:bookmarkStart w:name="z17" w:id="15"/>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5"/>
    <w:bookmarkStart w:name="z18" w:id="16"/>
    <w:p>
      <w:pPr>
        <w:spacing w:after="0"/>
        <w:ind w:left="0"/>
        <w:jc w:val="both"/>
      </w:pPr>
      <w:r>
        <w:rPr>
          <w:rFonts w:ascii="Times New Roman"/>
          <w:b w:val="false"/>
          <w:i w:val="false"/>
          <w:color w:val="000000"/>
          <w:sz w:val="28"/>
        </w:rPr>
        <w:t>
      1) жүйелік маңызы бар банк - тұрақты жұмыс істеуіне елдің тұтастай қаржы жүйесінің немесе оның жекелеген сегменттерінің тұрақтылығы байланысты болатын екінші деңгейдегі банк;</w:t>
      </w:r>
    </w:p>
    <w:bookmarkEnd w:id="16"/>
    <w:bookmarkStart w:name="z19" w:id="17"/>
    <w:p>
      <w:pPr>
        <w:spacing w:after="0"/>
        <w:ind w:left="0"/>
        <w:jc w:val="both"/>
      </w:pPr>
      <w:r>
        <w:rPr>
          <w:rFonts w:ascii="Times New Roman"/>
          <w:b w:val="false"/>
          <w:i w:val="false"/>
          <w:color w:val="000000"/>
          <w:sz w:val="28"/>
        </w:rPr>
        <w:t>
      2) жүйелік маңызы бар инфрақұрылымдық қаржы ұйымы - тұрақты жұмыс істеуіне бағалы қағаздар нарығының тұрақтылығы байланысты болатын бағалы қағаздар нарығының кәсіби қатысушысы;</w:t>
      </w:r>
    </w:p>
    <w:bookmarkEnd w:id="17"/>
    <w:bookmarkStart w:name="z20" w:id="18"/>
    <w:p>
      <w:pPr>
        <w:spacing w:after="0"/>
        <w:ind w:left="0"/>
        <w:jc w:val="both"/>
      </w:pPr>
      <w:r>
        <w:rPr>
          <w:rFonts w:ascii="Times New Roman"/>
          <w:b w:val="false"/>
          <w:i w:val="false"/>
          <w:color w:val="000000"/>
          <w:sz w:val="28"/>
        </w:rPr>
        <w:t>
      3) инфрақұрылымдық қаржы ұйымы - бағалы қағаздар нарығында кәсіби қызметтердің мына түрлерінің бірін:</w:t>
      </w:r>
    </w:p>
    <w:bookmarkEnd w:id="18"/>
    <w:p>
      <w:pPr>
        <w:spacing w:after="0"/>
        <w:ind w:left="0"/>
        <w:jc w:val="both"/>
      </w:pPr>
      <w:r>
        <w:rPr>
          <w:rFonts w:ascii="Times New Roman"/>
          <w:b w:val="false"/>
          <w:i w:val="false"/>
          <w:color w:val="000000"/>
          <w:sz w:val="28"/>
        </w:rPr>
        <w:t>
      бағалы қағаздармен және өзге де қаржы құралдарымен сауда-саттықты ұйымдастыруды;</w:t>
      </w:r>
    </w:p>
    <w:p>
      <w:pPr>
        <w:spacing w:after="0"/>
        <w:ind w:left="0"/>
        <w:jc w:val="both"/>
      </w:pPr>
      <w:r>
        <w:rPr>
          <w:rFonts w:ascii="Times New Roman"/>
          <w:b w:val="false"/>
          <w:i w:val="false"/>
          <w:color w:val="000000"/>
          <w:sz w:val="28"/>
        </w:rPr>
        <w:t>
      депозитарлық қызметті;</w:t>
      </w:r>
    </w:p>
    <w:p>
      <w:pPr>
        <w:spacing w:after="0"/>
        <w:ind w:left="0"/>
        <w:jc w:val="both"/>
      </w:pPr>
      <w:r>
        <w:rPr>
          <w:rFonts w:ascii="Times New Roman"/>
          <w:b w:val="false"/>
          <w:i w:val="false"/>
          <w:color w:val="000000"/>
          <w:sz w:val="28"/>
        </w:rPr>
        <w:t>
      қаржы құралдарымен мәмілелер бойынша клиринг қызметін;</w:t>
      </w:r>
    </w:p>
    <w:p>
      <w:pPr>
        <w:spacing w:after="0"/>
        <w:ind w:left="0"/>
        <w:jc w:val="both"/>
      </w:pPr>
      <w:r>
        <w:rPr>
          <w:rFonts w:ascii="Times New Roman"/>
          <w:b w:val="false"/>
          <w:i w:val="false"/>
          <w:color w:val="000000"/>
          <w:sz w:val="28"/>
        </w:rPr>
        <w:t>
      бағалы қағаздарды ұстаушылар тізілімдерінің жүйесін жүргізу жөніндегі қызметті жүзеге асыратын ұйым.</w:t>
      </w:r>
    </w:p>
    <w:bookmarkStart w:name="z21" w:id="19"/>
    <w:p>
      <w:pPr>
        <w:spacing w:after="0"/>
        <w:ind w:left="0"/>
        <w:jc w:val="left"/>
      </w:pPr>
      <w:r>
        <w:rPr>
          <w:rFonts w:ascii="Times New Roman"/>
          <w:b/>
          <w:i w:val="false"/>
          <w:color w:val="000000"/>
        </w:rPr>
        <w:t xml:space="preserve"> 2-тарау. Қаржы ұйымдарын жүйелік маңызы бар ұйымдар қатарына жатқызу тәртібі</w:t>
      </w:r>
    </w:p>
    <w:bookmarkEnd w:id="19"/>
    <w:bookmarkStart w:name="z22" w:id="20"/>
    <w:p>
      <w:pPr>
        <w:spacing w:after="0"/>
        <w:ind w:left="0"/>
        <w:jc w:val="both"/>
      </w:pPr>
      <w:r>
        <w:rPr>
          <w:rFonts w:ascii="Times New Roman"/>
          <w:b w:val="false"/>
          <w:i w:val="false"/>
          <w:color w:val="000000"/>
          <w:sz w:val="28"/>
        </w:rPr>
        <w:t>
      3. Қаржы ұйымдарын жүйелік маңызы бар ұйымдар қатарына жатқызу қаржы жүйесінің жүйелі тәуекелдерін төмендетуге бағытталған шараларды іске асыру шеңберінде жүзеге асырылады.</w:t>
      </w:r>
    </w:p>
    <w:bookmarkEnd w:id="20"/>
    <w:p>
      <w:pPr>
        <w:spacing w:after="0"/>
        <w:ind w:left="0"/>
        <w:jc w:val="both"/>
      </w:pPr>
      <w:r>
        <w:rPr>
          <w:rFonts w:ascii="Times New Roman"/>
          <w:b w:val="false"/>
          <w:i w:val="false"/>
          <w:color w:val="000000"/>
          <w:sz w:val="28"/>
        </w:rPr>
        <w:t xml:space="preserve">
      Ұлттық Банк жүргізген бағалау негізінде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13-тармақтарда</w:t>
      </w:r>
      <w:r>
        <w:rPr>
          <w:rFonts w:ascii="Times New Roman"/>
          <w:b w:val="false"/>
          <w:i w:val="false"/>
          <w:color w:val="000000"/>
          <w:sz w:val="28"/>
        </w:rPr>
        <w:t xml:space="preserve"> белгіленген өлшемшарттарға сәйкес келетін екінші деңгейдегі банктер (бұдан әрі – банктер) және инфрақұрылымдық қаржы ұйымдары жүйелік маңызы бар ұйымдар қатарына жатқызылған қаржы ұйымдары болып танылады.</w:t>
      </w:r>
    </w:p>
    <w:bookmarkStart w:name="z23" w:id="21"/>
    <w:p>
      <w:pPr>
        <w:spacing w:after="0"/>
        <w:ind w:left="0"/>
        <w:jc w:val="both"/>
      </w:pPr>
      <w:r>
        <w:rPr>
          <w:rFonts w:ascii="Times New Roman"/>
          <w:b w:val="false"/>
          <w:i w:val="false"/>
          <w:color w:val="000000"/>
          <w:sz w:val="28"/>
        </w:rPr>
        <w:t>
      4. Банкті жүйелік маңызы бар банк қатарына жатқызу үшін мына өлшемшарттар қолданылады:</w:t>
      </w:r>
    </w:p>
    <w:bookmarkEnd w:id="21"/>
    <w:bookmarkStart w:name="z24" w:id="22"/>
    <w:p>
      <w:pPr>
        <w:spacing w:after="0"/>
        <w:ind w:left="0"/>
        <w:jc w:val="both"/>
      </w:pPr>
      <w:r>
        <w:rPr>
          <w:rFonts w:ascii="Times New Roman"/>
          <w:b w:val="false"/>
          <w:i w:val="false"/>
          <w:color w:val="000000"/>
          <w:sz w:val="28"/>
        </w:rPr>
        <w:t>
      1) банктің мөлшері;</w:t>
      </w:r>
    </w:p>
    <w:bookmarkEnd w:id="22"/>
    <w:bookmarkStart w:name="z25" w:id="23"/>
    <w:p>
      <w:pPr>
        <w:spacing w:after="0"/>
        <w:ind w:left="0"/>
        <w:jc w:val="both"/>
      </w:pPr>
      <w:r>
        <w:rPr>
          <w:rFonts w:ascii="Times New Roman"/>
          <w:b w:val="false"/>
          <w:i w:val="false"/>
          <w:color w:val="000000"/>
          <w:sz w:val="28"/>
        </w:rPr>
        <w:t>
      2) банктің қаржы нарығының қатысушыларымен өзара байланысы;</w:t>
      </w:r>
    </w:p>
    <w:bookmarkEnd w:id="23"/>
    <w:bookmarkStart w:name="z26" w:id="24"/>
    <w:p>
      <w:pPr>
        <w:spacing w:after="0"/>
        <w:ind w:left="0"/>
        <w:jc w:val="both"/>
      </w:pPr>
      <w:r>
        <w:rPr>
          <w:rFonts w:ascii="Times New Roman"/>
          <w:b w:val="false"/>
          <w:i w:val="false"/>
          <w:color w:val="000000"/>
          <w:sz w:val="28"/>
        </w:rPr>
        <w:t>
      3) банктің өзара алмасуы;</w:t>
      </w:r>
    </w:p>
    <w:bookmarkEnd w:id="24"/>
    <w:bookmarkStart w:name="z27" w:id="25"/>
    <w:p>
      <w:pPr>
        <w:spacing w:after="0"/>
        <w:ind w:left="0"/>
        <w:jc w:val="both"/>
      </w:pPr>
      <w:r>
        <w:rPr>
          <w:rFonts w:ascii="Times New Roman"/>
          <w:b w:val="false"/>
          <w:i w:val="false"/>
          <w:color w:val="000000"/>
          <w:sz w:val="28"/>
        </w:rPr>
        <w:t>
      4) банк жүргізетін операциялардың кешенділігі (күрделілігі).</w:t>
      </w:r>
    </w:p>
    <w:bookmarkEnd w:id="25"/>
    <w:bookmarkStart w:name="z28" w:id="26"/>
    <w:p>
      <w:pPr>
        <w:spacing w:after="0"/>
        <w:ind w:left="0"/>
        <w:jc w:val="both"/>
      </w:pPr>
      <w:r>
        <w:rPr>
          <w:rFonts w:ascii="Times New Roman"/>
          <w:b w:val="false"/>
          <w:i w:val="false"/>
          <w:color w:val="000000"/>
          <w:sz w:val="28"/>
        </w:rPr>
        <w:t>
      5. Мыналар:</w:t>
      </w:r>
    </w:p>
    <w:bookmarkEnd w:id="26"/>
    <w:bookmarkStart w:name="z29" w:id="27"/>
    <w:p>
      <w:pPr>
        <w:spacing w:after="0"/>
        <w:ind w:left="0"/>
        <w:jc w:val="both"/>
      </w:pPr>
      <w:r>
        <w:rPr>
          <w:rFonts w:ascii="Times New Roman"/>
          <w:b w:val="false"/>
          <w:i w:val="false"/>
          <w:color w:val="000000"/>
          <w:sz w:val="28"/>
        </w:rPr>
        <w:t>
      1) банк активтерінің банктердің жиынтық активтеріндегі үлесі (К</w:t>
      </w:r>
      <w:r>
        <w:rPr>
          <w:rFonts w:ascii="Times New Roman"/>
          <w:b w:val="false"/>
          <w:i w:val="false"/>
          <w:color w:val="000000"/>
          <w:vertAlign w:val="subscript"/>
        </w:rPr>
        <w:t>1</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2) банк міндеттемелерінің банктердің жиынтық міндеттемелеріндегі үлесі (К</w:t>
      </w:r>
      <w:r>
        <w:rPr>
          <w:rFonts w:ascii="Times New Roman"/>
          <w:b w:val="false"/>
          <w:i w:val="false"/>
          <w:color w:val="000000"/>
          <w:vertAlign w:val="subscript"/>
        </w:rPr>
        <w:t>2</w:t>
      </w:r>
      <w:r>
        <w:rPr>
          <w:rFonts w:ascii="Times New Roman"/>
          <w:b w:val="false"/>
          <w:i w:val="false"/>
          <w:color w:val="000000"/>
          <w:sz w:val="28"/>
        </w:rPr>
        <w:t xml:space="preserve">) банктің мөлшерін сипаттайтын көрсеткіштер болып табылады. </w:t>
      </w:r>
    </w:p>
    <w:bookmarkEnd w:id="28"/>
    <w:bookmarkStart w:name="z31" w:id="29"/>
    <w:p>
      <w:pPr>
        <w:spacing w:after="0"/>
        <w:ind w:left="0"/>
        <w:jc w:val="both"/>
      </w:pPr>
      <w:r>
        <w:rPr>
          <w:rFonts w:ascii="Times New Roman"/>
          <w:b w:val="false"/>
          <w:i w:val="false"/>
          <w:color w:val="000000"/>
          <w:sz w:val="28"/>
        </w:rPr>
        <w:t>
      6. Банктің қаржы нарығының қатысушыларымен өзара байланысын сипаттайтын көрсеткіштер мыналар:</w:t>
      </w:r>
    </w:p>
    <w:bookmarkEnd w:id="29"/>
    <w:bookmarkStart w:name="z32" w:id="30"/>
    <w:p>
      <w:pPr>
        <w:spacing w:after="0"/>
        <w:ind w:left="0"/>
        <w:jc w:val="both"/>
      </w:pPr>
      <w:r>
        <w:rPr>
          <w:rFonts w:ascii="Times New Roman"/>
          <w:b w:val="false"/>
          <w:i w:val="false"/>
          <w:color w:val="000000"/>
          <w:sz w:val="28"/>
        </w:rPr>
        <w:t>
      1) банкаралық активтердің және банктердің еншілес ұйымдарға инвестицияларының жиынтық көлемінде банкаралық активтер, банктің банктерге қатысты шартты талаптары (бұдан әрі – банкаралық активтер) және банктің еншілес ұйымдарына инвестициялары сомасының үлесі (К</w:t>
      </w:r>
      <w:r>
        <w:rPr>
          <w:rFonts w:ascii="Times New Roman"/>
          <w:b w:val="false"/>
          <w:i w:val="false"/>
          <w:color w:val="000000"/>
          <w:vertAlign w:val="subscript"/>
        </w:rPr>
        <w:t>3</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2) банктердің банкаралық міндеттемелерінің және банктердің "Бірыңғай жинақтаушы зейнетақы қоры" акционерлік қоғамының банктік салымдарға және банктер шығарған бағалы қағаздарға инвестицияланған зейнетақы активтері бойынша міндеттемелерінің жиынтық көлемінде банкаралық міндеттемелер, банктің банктер алдындағы шартты міндеттемелері (бұдан әрі – банкаралық міндеттемелер) және "Бірыңғай жинақтаушы зейнетақы қоры" акционерлік қоғамының банкке салымдарға және банк шығарған бағалы қағаздарға инвестицияланған зейнетақы активтері бойынша міндеттемелері қосындысының үлесі (К</w:t>
      </w:r>
      <w:r>
        <w:rPr>
          <w:rFonts w:ascii="Times New Roman"/>
          <w:b w:val="false"/>
          <w:i w:val="false"/>
          <w:color w:val="000000"/>
          <w:vertAlign w:val="subscript"/>
        </w:rPr>
        <w:t>4</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3) жеке тұлғалардың "Қазақстанның депозиттерге кепілдік беру қоры" акционерлік қоғамы (бұдан әрі – Қор) кепілдік беруі тиісті банктерде орналастырылған салымдарының жиынтық көлемінде жеке тұлғалардың Қор кепілдік беруі тиісті банкте орналастырылған салымдары сомасының үлесі (К</w:t>
      </w:r>
      <w:r>
        <w:rPr>
          <w:rFonts w:ascii="Times New Roman"/>
          <w:b w:val="false"/>
          <w:i w:val="false"/>
          <w:color w:val="000000"/>
          <w:vertAlign w:val="subscript"/>
        </w:rPr>
        <w:t>5</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7. Банктің өзара алмасуын сипаттайтын көрсеткіштер мыналар:</w:t>
      </w:r>
    </w:p>
    <w:bookmarkEnd w:id="33"/>
    <w:bookmarkStart w:name="z36" w:id="34"/>
    <w:p>
      <w:pPr>
        <w:spacing w:after="0"/>
        <w:ind w:left="0"/>
        <w:jc w:val="both"/>
      </w:pPr>
      <w:r>
        <w:rPr>
          <w:rFonts w:ascii="Times New Roman"/>
          <w:b w:val="false"/>
          <w:i w:val="false"/>
          <w:color w:val="000000"/>
          <w:sz w:val="28"/>
        </w:rPr>
        <w:t>
      1) банктің банкаралық ақша аудару жүйесі, банкаралық клиринг жүйесі арқылы жүргізген төлемдерінің, электрондық банктік қызметтер нарығындағы (банк желісінде) төлемдерінің, банк пен оның контрагенттері арасында ашылған корреспонденттік шоттар арқылы, халықаралық ақша аударымы жүйесі арқылы жүргізілген төлемдері мен аударымдары (бұдан әрі – қолма-қол ақшасыз төлемдер) жалпы сомасының банктердің қолма-қол ақшасыз төлемдерінің жиынтық көлеміндегі үлесі (К</w:t>
      </w:r>
      <w:r>
        <w:rPr>
          <w:rFonts w:ascii="Times New Roman"/>
          <w:b w:val="false"/>
          <w:i w:val="false"/>
          <w:color w:val="000000"/>
          <w:vertAlign w:val="subscript"/>
        </w:rPr>
        <w:t>6</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2) банктің несие портфелінің банктердің жиынтық несие портфеліндегі үлесі (К</w:t>
      </w:r>
      <w:r>
        <w:rPr>
          <w:rFonts w:ascii="Times New Roman"/>
          <w:b w:val="false"/>
          <w:i w:val="false"/>
          <w:color w:val="000000"/>
          <w:vertAlign w:val="subscript"/>
        </w:rPr>
        <w:t>7</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3) банктің кастодиандық қызметті көрсетуге қабылдаған активтерінің банктер кастодиандық қызметті көрсетуге қабылдаған активтерінің жиынтық көлеміндегі үлесі (К</w:t>
      </w:r>
      <w:r>
        <w:rPr>
          <w:rFonts w:ascii="Times New Roman"/>
          <w:b w:val="false"/>
          <w:i w:val="false"/>
          <w:color w:val="000000"/>
          <w:vertAlign w:val="subscript"/>
        </w:rPr>
        <w:t>8</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8. Банк жүргізетін операциялардың кешенділігін (күрделілігін) сипаттайтын көрсеткіштер мыналар:</w:t>
      </w:r>
    </w:p>
    <w:bookmarkEnd w:id="37"/>
    <w:bookmarkStart w:name="z40" w:id="38"/>
    <w:p>
      <w:pPr>
        <w:spacing w:after="0"/>
        <w:ind w:left="0"/>
        <w:jc w:val="both"/>
      </w:pPr>
      <w:r>
        <w:rPr>
          <w:rFonts w:ascii="Times New Roman"/>
          <w:b w:val="false"/>
          <w:i w:val="false"/>
          <w:color w:val="000000"/>
          <w:sz w:val="28"/>
        </w:rPr>
        <w:t>
      1) банктің туынды қаржы құралдары мен шетел валютасы бойынша шартты талаптары сомаларының банктердің туынды қаржы құралдары мен шетел валютасы бойынша шартты талаптарының жиынтық көлеміндегі үлесі (К</w:t>
      </w:r>
      <w:r>
        <w:rPr>
          <w:rFonts w:ascii="Times New Roman"/>
          <w:b w:val="false"/>
          <w:i w:val="false"/>
          <w:color w:val="000000"/>
          <w:vertAlign w:val="subscript"/>
        </w:rPr>
        <w:t>9</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2) банктің туынды қаржы құралдары мен шетел валютасы бойынша шартты міндеттемелері сомаларының банктердің туынды қаржы құралдары мен шетел валютасы бойынша шартты міндеттемелерінің жиынтық көлеміндегі үлесі (К</w:t>
      </w:r>
      <w:r>
        <w:rPr>
          <w:rFonts w:ascii="Times New Roman"/>
          <w:b w:val="false"/>
          <w:i w:val="false"/>
          <w:color w:val="000000"/>
          <w:vertAlign w:val="subscript"/>
        </w:rPr>
        <w:t>10</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3) банк әділ құны бойынша пайда немесе зиян арқылы есепке алатын бағалы қағаздарының және әділ құны бойынша басқа да жиынтық кіріс арқылы есепке алынатын бағалы қағаздарының жалпы сомаларының банктер әділ құны бойынша пайда немесе зиян арқылы есепке алатын бағалы қағаздарының және әділ құны бойынша басқа да жиынтық кіріс арқылы есепке алынатын бағалы қағаздарының жиынтық көлеміндегі үлесі (К</w:t>
      </w:r>
      <w:r>
        <w:rPr>
          <w:rFonts w:ascii="Times New Roman"/>
          <w:b w:val="false"/>
          <w:i w:val="false"/>
          <w:color w:val="000000"/>
          <w:vertAlign w:val="subscript"/>
        </w:rPr>
        <w:t>11</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xml:space="preserve">
      9.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көрсеткішті қоспағанда,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көрсеткіштерді есептеу тоқсанның бірінші күніндегі жағдай бойынша жүзеге асырылады.</w:t>
      </w:r>
    </w:p>
    <w:bookmarkEnd w:id="41"/>
    <w:p>
      <w:pPr>
        <w:spacing w:after="0"/>
        <w:ind w:left="0"/>
        <w:jc w:val="both"/>
      </w:pPr>
      <w:r>
        <w:rPr>
          <w:rFonts w:ascii="Times New Roman"/>
          <w:b w:val="false"/>
          <w:i w:val="false"/>
          <w:color w:val="000000"/>
          <w:sz w:val="28"/>
        </w:rPr>
        <w:t xml:space="preserve">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көрсеткіш бір тоқсан үшін есептеледі.</w:t>
      </w:r>
    </w:p>
    <w:p>
      <w:pPr>
        <w:spacing w:after="0"/>
        <w:ind w:left="0"/>
        <w:jc w:val="both"/>
      </w:pPr>
      <w:r>
        <w:rPr>
          <w:rFonts w:ascii="Times New Roman"/>
          <w:b w:val="false"/>
          <w:i w:val="false"/>
          <w:color w:val="000000"/>
          <w:sz w:val="28"/>
        </w:rPr>
        <w:t>
      Көрсеткіштердің орташа мәнін есептеу кезеңіне есептеу күнінің алдындағы қатарынан төрт тоқсан кіреді.</w:t>
      </w:r>
    </w:p>
    <w:bookmarkStart w:name="z44" w:id="42"/>
    <w:p>
      <w:pPr>
        <w:spacing w:after="0"/>
        <w:ind w:left="0"/>
        <w:jc w:val="both"/>
      </w:pPr>
      <w:r>
        <w:rPr>
          <w:rFonts w:ascii="Times New Roman"/>
          <w:b w:val="false"/>
          <w:i w:val="false"/>
          <w:color w:val="000000"/>
          <w:sz w:val="28"/>
        </w:rPr>
        <w:t>
      10. Банктің жалпылама көрсеткіші (ЖК) мына формула бойынша есептеледі: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ЖК - банктің жалпылама көрсеткіші;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ij</w:t>
      </w:r>
      <w:r>
        <w:rPr>
          <w:rFonts w:ascii="Times New Roman"/>
          <w:b w:val="false"/>
          <w:i w:val="false"/>
          <w:color w:val="000000"/>
          <w:sz w:val="28"/>
        </w:rPr>
        <w:t xml:space="preserve"> - j-көрсеткішінің (К</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11</w:t>
      </w:r>
      <w:r>
        <w:rPr>
          <w:rFonts w:ascii="Times New Roman"/>
          <w:b w:val="false"/>
          <w:i w:val="false"/>
          <w:color w:val="000000"/>
          <w:sz w:val="28"/>
        </w:rPr>
        <w:t>) і-тоқсаны үшін пайыздық мәні;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кj</w:t>
      </w:r>
      <w:r>
        <w:rPr>
          <w:rFonts w:ascii="Times New Roman"/>
          <w:b w:val="false"/>
          <w:i w:val="false"/>
          <w:color w:val="000000"/>
          <w:sz w:val="28"/>
        </w:rPr>
        <w:t xml:space="preserve"> - j-көрсеткішінің (К</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11</w:t>
      </w:r>
      <w:r>
        <w:rPr>
          <w:rFonts w:ascii="Times New Roman"/>
          <w:b w:val="false"/>
          <w:i w:val="false"/>
          <w:color w:val="000000"/>
          <w:sz w:val="28"/>
        </w:rPr>
        <w:t>) жалпылама көрсеткіштегі салмағы, оның мәні: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к1</w:t>
      </w:r>
      <w:r>
        <w:rPr>
          <w:rFonts w:ascii="Times New Roman"/>
          <w:b w:val="false"/>
          <w:i w:val="false"/>
          <w:color w:val="000000"/>
          <w:sz w:val="28"/>
        </w:rPr>
        <w:t xml:space="preserve"> = 20%;</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к2</w:t>
      </w:r>
      <w:r>
        <w:rPr>
          <w:rFonts w:ascii="Times New Roman"/>
          <w:b w:val="false"/>
          <w:i w:val="false"/>
          <w:color w:val="000000"/>
          <w:sz w:val="28"/>
        </w:rPr>
        <w:t xml:space="preserve"> = 20%;</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к3</w:t>
      </w:r>
      <w:r>
        <w:rPr>
          <w:rFonts w:ascii="Times New Roman"/>
          <w:b w:val="false"/>
          <w:i w:val="false"/>
          <w:color w:val="000000"/>
          <w:sz w:val="28"/>
        </w:rPr>
        <w:t xml:space="preserve"> = 5%;</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к4</w:t>
      </w:r>
      <w:r>
        <w:rPr>
          <w:rFonts w:ascii="Times New Roman"/>
          <w:b w:val="false"/>
          <w:i w:val="false"/>
          <w:color w:val="000000"/>
          <w:sz w:val="28"/>
        </w:rPr>
        <w:t xml:space="preserve"> = 5%;</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к5</w:t>
      </w:r>
      <w:r>
        <w:rPr>
          <w:rFonts w:ascii="Times New Roman"/>
          <w:b w:val="false"/>
          <w:i w:val="false"/>
          <w:color w:val="000000"/>
          <w:sz w:val="28"/>
        </w:rPr>
        <w:t xml:space="preserve"> = 10%;</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к6</w:t>
      </w:r>
      <w:r>
        <w:rPr>
          <w:rFonts w:ascii="Times New Roman"/>
          <w:b w:val="false"/>
          <w:i w:val="false"/>
          <w:color w:val="000000"/>
          <w:sz w:val="28"/>
        </w:rPr>
        <w:t xml:space="preserve"> = 10%;</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к7</w:t>
      </w:r>
      <w:r>
        <w:rPr>
          <w:rFonts w:ascii="Times New Roman"/>
          <w:b w:val="false"/>
          <w:i w:val="false"/>
          <w:color w:val="000000"/>
          <w:sz w:val="28"/>
        </w:rPr>
        <w:t xml:space="preserve"> = 7%;</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к8</w:t>
      </w:r>
      <w:r>
        <w:rPr>
          <w:rFonts w:ascii="Times New Roman"/>
          <w:b w:val="false"/>
          <w:i w:val="false"/>
          <w:color w:val="000000"/>
          <w:sz w:val="28"/>
        </w:rPr>
        <w:t xml:space="preserve"> = 3%;</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к9</w:t>
      </w:r>
      <w:r>
        <w:rPr>
          <w:rFonts w:ascii="Times New Roman"/>
          <w:b w:val="false"/>
          <w:i w:val="false"/>
          <w:color w:val="000000"/>
          <w:sz w:val="28"/>
        </w:rPr>
        <w:t xml:space="preserve"> = 5%;</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к10</w:t>
      </w:r>
      <w:r>
        <w:rPr>
          <w:rFonts w:ascii="Times New Roman"/>
          <w:b w:val="false"/>
          <w:i w:val="false"/>
          <w:color w:val="000000"/>
          <w:sz w:val="28"/>
        </w:rPr>
        <w:t xml:space="preserve"> = 5%;</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к11</w:t>
      </w:r>
      <w:r>
        <w:rPr>
          <w:rFonts w:ascii="Times New Roman"/>
          <w:b w:val="false"/>
          <w:i w:val="false"/>
          <w:color w:val="000000"/>
          <w:sz w:val="28"/>
        </w:rPr>
        <w:t xml:space="preserve"> = 10% құрайды.</w:t>
      </w:r>
    </w:p>
    <w:bookmarkStart w:name="z45" w:id="43"/>
    <w:p>
      <w:pPr>
        <w:spacing w:after="0"/>
        <w:ind w:left="0"/>
        <w:jc w:val="both"/>
      </w:pPr>
      <w:r>
        <w:rPr>
          <w:rFonts w:ascii="Times New Roman"/>
          <w:b w:val="false"/>
          <w:i w:val="false"/>
          <w:color w:val="000000"/>
          <w:sz w:val="28"/>
        </w:rPr>
        <w:t xml:space="preserve">
      11. Егер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банктің жалпылама көрсеткіші 8 (сегіз) пайызды құраса және одан асса, банк жүйелі маңызы бар банктердің қатарына жатады.</w:t>
      </w:r>
    </w:p>
    <w:bookmarkEnd w:id="43"/>
    <w:bookmarkStart w:name="z46" w:id="44"/>
    <w:p>
      <w:pPr>
        <w:spacing w:after="0"/>
        <w:ind w:left="0"/>
        <w:jc w:val="both"/>
      </w:pPr>
      <w:r>
        <w:rPr>
          <w:rFonts w:ascii="Times New Roman"/>
          <w:b w:val="false"/>
          <w:i w:val="false"/>
          <w:color w:val="000000"/>
          <w:sz w:val="28"/>
        </w:rPr>
        <w:t xml:space="preserve">
      12.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жалпылама көрсеткіші 3 (үш) пайыздан асатын, бірақ 8 (сегіз) пайыздан кем болған банктер әлеуетті жүйелік маңызы бар банктер болып табылады және бұл туралы ақпаратты Ұлттық Банк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бұйрық қабылданған күннен бастап 5 (бес) жұмыс күнінен кешіктірмейтін мерзімде осы банктерге және қаржы ұйымдары мен қаржы нарығын реттеу, бақылау және қадағалау жөніндегі уәкілетті органға жеткізеді.</w:t>
      </w:r>
    </w:p>
    <w:bookmarkEnd w:id="44"/>
    <w:bookmarkStart w:name="z47" w:id="45"/>
    <w:p>
      <w:pPr>
        <w:spacing w:after="0"/>
        <w:ind w:left="0"/>
        <w:jc w:val="both"/>
      </w:pPr>
      <w:r>
        <w:rPr>
          <w:rFonts w:ascii="Times New Roman"/>
          <w:b w:val="false"/>
          <w:i w:val="false"/>
          <w:color w:val="000000"/>
          <w:sz w:val="28"/>
        </w:rPr>
        <w:t>
      13. Инфрақұрылымдық қаржы ұйымы бірегейлік өлшемшартына сәйкес келген жағдайда, жүйелік маңызы бар қатарына жатады.</w:t>
      </w:r>
    </w:p>
    <w:bookmarkEnd w:id="45"/>
    <w:p>
      <w:pPr>
        <w:spacing w:after="0"/>
        <w:ind w:left="0"/>
        <w:jc w:val="both"/>
      </w:pPr>
      <w:r>
        <w:rPr>
          <w:rFonts w:ascii="Times New Roman"/>
          <w:b w:val="false"/>
          <w:i w:val="false"/>
          <w:color w:val="000000"/>
          <w:sz w:val="28"/>
        </w:rPr>
        <w:t xml:space="preserve">
      Егер инфрақұрылымдық қаржы ұйымы Қазақстан Республикасының бағалы қағаздар нарығы туралы заңнамасына сәйкес Қағидалардың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бағалы қағаздар нарығындағы кәсіби қызметтің бір түрін жүзеге асыратын жеке-дара ұйым болып табылса, инфрақұрылымдық қаржы ұйымы бірегейлік өлшемшартына сәйкес келеді.</w:t>
      </w:r>
    </w:p>
    <w:bookmarkStart w:name="z48" w:id="46"/>
    <w:p>
      <w:pPr>
        <w:spacing w:after="0"/>
        <w:ind w:left="0"/>
        <w:jc w:val="both"/>
      </w:pPr>
      <w:r>
        <w:rPr>
          <w:rFonts w:ascii="Times New Roman"/>
          <w:b w:val="false"/>
          <w:i w:val="false"/>
          <w:color w:val="000000"/>
          <w:sz w:val="28"/>
        </w:rPr>
        <w:t>
      14. Ұлттық Банк жүйелік маңызы бар қаржы ұйымдарының тізімін бекітетін жылдың алдындағы жылғы 1 қазандағы жағдай бойынша деректер негізінде жүйелік маңызы бар қаржы ұйымдарының тізімін қалыптастырады.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27.08.2022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15. Жүйелік маңызы бар қаржы ұйымдарының тізімі қабылданған күнінен бастап 10 (он) күнтізбелік күн өткен соң күшіне енетін, Ұлттық Банк Төрағасының не оның орнындағы адамның бұйрығымен тиісті жылғы 20 қаңтардан кешіктірмейтін мерзімде бекітіледі. </w:t>
      </w:r>
    </w:p>
    <w:bookmarkEnd w:id="47"/>
    <w:bookmarkStart w:name="z50" w:id="48"/>
    <w:p>
      <w:pPr>
        <w:spacing w:after="0"/>
        <w:ind w:left="0"/>
        <w:jc w:val="both"/>
      </w:pPr>
      <w:r>
        <w:rPr>
          <w:rFonts w:ascii="Times New Roman"/>
          <w:b w:val="false"/>
          <w:i w:val="false"/>
          <w:color w:val="000000"/>
          <w:sz w:val="28"/>
        </w:rPr>
        <w:t xml:space="preserve">
      16. Қаржы ұйымын жүйелік маңызы бар қаржы ұйымдарының тізіміне енгізу туралы ақпарат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бұйрық қабылданған күннен бастап 5 (бес) жұмыс күнінен кешіктірмейтін мерзімде осы қаржы ұйымдарына және қаржы ұйымдары мен қаржы нарығын реттеу, бақылау және қадағалау жөніндегі уәкілетті органға жеткізіледі.</w:t>
      </w:r>
    </w:p>
    <w:bookmarkEnd w:id="48"/>
    <w:bookmarkStart w:name="z51" w:id="49"/>
    <w:p>
      <w:pPr>
        <w:spacing w:after="0"/>
        <w:ind w:left="0"/>
        <w:jc w:val="both"/>
      </w:pPr>
      <w:r>
        <w:rPr>
          <w:rFonts w:ascii="Times New Roman"/>
          <w:b w:val="false"/>
          <w:i w:val="false"/>
          <w:color w:val="000000"/>
          <w:sz w:val="28"/>
        </w:rPr>
        <w:t>
      17. Қағидалардың 14-тармағында көрсетілген күннен бастап жүйелік маңызы бар банк активтерінің сомасы 50%-ға (елу пайызға) және одан көп мөлшерге төмендеген жағдайда қаржы нарығы мен қаржы ұйымдарын реттеу, бақылау және қадағалау жөніндегі уәкілетті органның осындай өзгерісті растайтын өтінішхаты негізінде жүйелік маңызы бар қаржы ұйымдарының бекітілген тізіміне өзгерістер енгізуге жол беріледі.</w:t>
      </w:r>
    </w:p>
    <w:bookmarkEnd w:id="49"/>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органның өтінішхатын алғаннан кейін Ұлттық Банк сұрату алғаннан кейін 20 (жиырма) жұмыс күні ішінде есеп айырысу күнінің алдындағы қатарынан 2 (екі) тоқсан үшін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көрсеткіштердің орташа мәнін есептеуді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17-тармақпен толықтырылды - ҚР Ұлттық Банкі Басқармасының 27.08.2022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18. Жүйелік маңызы бар қаржы ұйымдарының бекітілген тізіміне өзгерістер Қағидалардың 17-тармағына сәйкес қол қойылған күннен бастап күшіне енетін Ұлттық Банк Төрағасының не оның орнындағы адамның бұйрығымен енгізіледі.</w:t>
      </w:r>
    </w:p>
    <w:bookmarkEnd w:id="50"/>
    <w:p>
      <w:pPr>
        <w:spacing w:after="0"/>
        <w:ind w:left="0"/>
        <w:jc w:val="both"/>
      </w:pPr>
      <w:r>
        <w:rPr>
          <w:rFonts w:ascii="Times New Roman"/>
          <w:b w:val="false"/>
          <w:i w:val="false"/>
          <w:color w:val="000000"/>
          <w:sz w:val="28"/>
        </w:rPr>
        <w:t>
      Жүйелік маңызы бар қаржы ұйымдары тізімінің өзгеруі туралы ақпарат мүдделі қаржы ұйымдарына және қаржы нарығы мен қаржы ұйымдарын реттеу, бақылау және қадағалау жөніндегі уәкілетті органға бұйрыққа қол қойылған күннен бастап 5 (бес) жұмыс күнінен кешіктірілмейтін мерзімде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18-тармақпен толықтырылды - ҚР Ұлттық Банкі Басқармасының 27.08.2022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