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632e" w14:textId="ef463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"Жұмыстар мен жұмысшы кәсіптерінің бірыңғай тарифтік-біліктілік анықтамалығын (4-шығарылым) бекіту туралы" Қазақстан Республикасы Еңбек және халықты әлеуметтік қорғау министрінің 2019 жылғы 30 мамырдағы № 291 бұйрығына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2019 жылғы 7 қарашадағы № 597 бұйрығы. Қазақстан Республикасының Әділет министрлігінде 2019 жылғы 7 қарашада № 19574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23 қарашадағы Қазақстан Республикасы Еңбек кодексінің 16-бабының </w:t>
      </w:r>
      <w:r>
        <w:rPr>
          <w:rFonts w:ascii="Times New Roman"/>
          <w:b w:val="false"/>
          <w:i w:val="false"/>
          <w:color w:val="000000"/>
          <w:sz w:val="28"/>
        </w:rPr>
        <w:t>16-1)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"Жұмыстар мен жұмысшы кәсіптерінің бірыңғай тарифтік-біліктілік анықтамалығын (4-шығарылым) бекіту туралы" Қазақстан Республикасы Еңбек және халықты әлеуметтік қорғау министрінің 2019 жылғы 30 мамырдағы № 291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Әділет министрлігінде 2019 жылғы 31 мамырда № 18755 болып тіркелген, 2018 жылғы 4 маусымда Қазақстан Республикасы нормативтік құқықтық актілерінің эталондық бақылау банкінде жарияланған)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Жұмыстар мен жұмысшы кәсіптерінің бірыңғай тарифтік-біліктілік </w:t>
      </w:r>
      <w:r>
        <w:rPr>
          <w:rFonts w:ascii="Times New Roman"/>
          <w:b w:val="false"/>
          <w:i w:val="false"/>
          <w:color w:val="000000"/>
          <w:sz w:val="28"/>
        </w:rPr>
        <w:t>анықтамалығында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(4-шығарылым):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64-1-параграфпен толықтырылсын: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"64-1-параграф. Шахталық аспалы локомотив машинисі, 4-разряд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504-1. Жұмыс сипаттамасы: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жүк тиелген және бос құрамды тасымалдау, адамдарды жеткізу кезінде ілінісу салмағына қарамастан шахталық аспалы локомотивтерді басқару;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аспалы монорельсті жолдың профиліне және құрам салмағына байланысты шахталық аспалы локомотивтің қозғалыс жылдамдығын реттеу;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тиеу және айырбастау пункттерінде құрамдарды қалыптастыру және маневрлік жұмыстарды орындау;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жүктерді, жабдықтар мен материалдарды жеткізу және беру;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адамдарды жұмыс орнына және кері жеткізу;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құрамның көлік бірліктерін тіркеу және ажырату;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жүктерді тиеу;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жүк көтергіш механизмдерді басқару;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жүктерді тиеу және түсіру кезінде шағын механизациялау құралдарын қолдану;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жолдағы бағыттамаларды ауыстыру;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желдеткіш есіктерді, итергіштерді, шығырларды және тиеу және түсіру пункттерінің басқа да механизмдерін басқару;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шахталық аспалы локомотивтерді жабдықтау, жанар-жағар май құю, жұмыс сұйықтықтарын толтыру;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басқару механизмдерін, жүріс бөліктерін, гидро өткізгіштері бар секцияларды, тартқыш қондырғыларын, тежегіш арбаларды және кабиналарды тексеру және сынау;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өлшеу құралдарының көрсеткіштерін бақылау;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 көрсетілетін жабдықтың жұмысындағы ақауларды жою;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борттық журналдарды толтыру.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504-2. Білуге тиіс: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шахталық аспалы локомотивтердің құрылғысы мен техникалық сипаттамасын;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поездардың қозғалыс кестесін және құрамдардың жүкпен және адамдармен қозғалыс қағидаларын;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аспалы монорельсті жолдың профилін, оның жай-күйі мен қызмет көрсетілетін учаскедегі жол белгілерін;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әртүрлі жұмыс жағдайларында шахталық аспалы локомотивтердің тартымдық сипаттамасын;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аспалы монорельсті жолдардың, коммутация мен энергиямен қоректену схемасын;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тежегіш құрылғылардың жүйесін;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бағыттамалы бұрмалардың құрылысын, көлік бірліктерін тіркеу және ажырату қағидаларын;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ішкі жану қозғалтқыштарының және аккумуляторлық батареялардың құрылысын;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жанар-жағармай материалдарын құю және жұмыс сұйықтықтарын толтыру қағидаларын;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аккумулятор батареяларын зарядтау және күту қағидаларын;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жерасты гараждарының және аккумулятор батареяларын зарядтау жабдықтарын;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сигналдар мен сигнализация орталықтандыру және бұғаттау құралдарының мақсатын;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токты түрлендіру тәсілдерін;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диспетчерлік қызмет схемасын;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жерасты тау-кен қазбаларының орналасуы мен атауын;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 көрсетілетін машиналарды қабылдау және сынау тәртібін;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майлау жүйесі мен қолданылатын майлау материалдарын;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электротехника негіздерін және слесарліқ істі;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 көрсетілетін жабдықтың жұмысындағы ақаулықтарды жою тәртібін.";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Жұмыстар мен жұмысшы кәсіптерінің бірыңғай тарифтік-біліктілік анықтамалығына (4-шығарылым)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"Тау-кен және тау-кен-күрделі жұмыстар (жалпы кәсіптер)" тарауында: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141-1-тармақпен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7"/>
        <w:gridCol w:w="2043"/>
        <w:gridCol w:w="1599"/>
        <w:gridCol w:w="3371"/>
      </w:tblGrid>
      <w:tr>
        <w:trPr>
          <w:trHeight w:val="30" w:hRule="atLeast"/>
        </w:trPr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141-1.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Шахталық аспалы локомотив машинисі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Жұмыстар мен жұмысшы кәсіптерінің бірыңғай тарифтік-біліктілік анықтамалығында (4-шығарылым)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"Тау-кен және тау-кен-күрделі жұмыстар (жалпы кәсіптер)" тарауында: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41-1-тармақпен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9"/>
        <w:gridCol w:w="1669"/>
        <w:gridCol w:w="1306"/>
        <w:gridCol w:w="3600"/>
        <w:gridCol w:w="1063"/>
        <w:gridCol w:w="1063"/>
      </w:tblGrid>
      <w:tr>
        <w:trPr>
          <w:trHeight w:val="30" w:hRule="atLeast"/>
        </w:trPr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41-1.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Шахталық аспалы локомотив машинисі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41-1.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тәртіппен: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 ресми жарияланғаннан кейін оны Қазақстан Республикасы Еңбек және халықты әлеуметтік қорғау министрлігінің интернет-ресурсында орналастыруды;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 ұсынуды қамтамасыз етсін.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Еңбек және халықты әлеуметтік қорғау вице-министрі А.Ә. Сарбасовқа жүктелсін.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