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6503" w14:textId="0196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29 қазандағы № 1192 бұйрығы. Қазақстан Республикасының Әділет министрлігінде 2019 жылғы 31 қазанда № 19536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2007 жылғы 27 шілдедегі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(Қазақстан Республикасының Әділет министрлігінде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"Ерекше қорғалатын табиғи аумақтар саласындағы мемлекеттік мекемелер көрсететін қызметтер" деген бөлімі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w:t>
            </w:r>
          </w:p>
          <w:p>
            <w:pPr>
              <w:spacing w:after="20"/>
              <w:ind w:left="20"/>
              <w:jc w:val="both"/>
            </w:pPr>
            <w:r>
              <w:rPr>
                <w:rFonts w:ascii="Times New Roman"/>
                <w:b w:val="false"/>
                <w:i w:val="false"/>
                <w:color w:val="000000"/>
                <w:sz w:val="20"/>
              </w:rPr>
              <w:t>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9)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10)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11)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12)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13) табиғат музейлер мен көрмелерді ұйымдастыруға және оларды күтіп ұстауға;</w:t>
            </w:r>
          </w:p>
          <w:p>
            <w:pPr>
              <w:spacing w:after="20"/>
              <w:ind w:left="20"/>
              <w:jc w:val="both"/>
            </w:pPr>
            <w:r>
              <w:rPr>
                <w:rFonts w:ascii="Times New Roman"/>
                <w:b w:val="false"/>
                <w:i w:val="false"/>
                <w:color w:val="000000"/>
                <w:sz w:val="20"/>
              </w:rPr>
              <w:t>
14) рекреациялық аймақтарды дамытуға және абаттандыруға;</w:t>
            </w:r>
          </w:p>
          <w:p>
            <w:pPr>
              <w:spacing w:after="20"/>
              <w:ind w:left="20"/>
              <w:jc w:val="both"/>
            </w:pPr>
            <w:r>
              <w:rPr>
                <w:rFonts w:ascii="Times New Roman"/>
                <w:b w:val="false"/>
                <w:i w:val="false"/>
                <w:color w:val="000000"/>
                <w:sz w:val="20"/>
              </w:rPr>
              <w:t>
15) жарнамалық қызметті жетілдіруге;</w:t>
            </w:r>
          </w:p>
          <w:p>
            <w:pPr>
              <w:spacing w:after="20"/>
              <w:ind w:left="20"/>
              <w:jc w:val="both"/>
            </w:pPr>
            <w:r>
              <w:rPr>
                <w:rFonts w:ascii="Times New Roman"/>
                <w:b w:val="false"/>
                <w:i w:val="false"/>
                <w:color w:val="000000"/>
                <w:sz w:val="20"/>
              </w:rPr>
              <w:t>
16) экологиялық насихатауға;</w:t>
            </w:r>
          </w:p>
          <w:p>
            <w:pPr>
              <w:spacing w:after="20"/>
              <w:ind w:left="20"/>
              <w:jc w:val="both"/>
            </w:pPr>
            <w:r>
              <w:rPr>
                <w:rFonts w:ascii="Times New Roman"/>
                <w:b w:val="false"/>
                <w:i w:val="false"/>
                <w:color w:val="000000"/>
                <w:sz w:val="20"/>
              </w:rPr>
              <w:t>
17) теріс экологиялық зардаптардың алдын алуға және жоюға.</w:t>
            </w:r>
          </w:p>
          <w:p>
            <w:pPr>
              <w:spacing w:after="20"/>
              <w:ind w:left="20"/>
              <w:jc w:val="both"/>
            </w:pPr>
            <w:r>
              <w:rPr>
                <w:rFonts w:ascii="Times New Roman"/>
                <w:b w:val="false"/>
                <w:i w:val="false"/>
                <w:color w:val="000000"/>
                <w:sz w:val="20"/>
              </w:rPr>
              <w:t>
(112, 113, 121,122,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шілдедегі Заңының 38-бабы,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p>
            <w:pPr>
              <w:spacing w:after="20"/>
              <w:ind w:left="20"/>
              <w:jc w:val="both"/>
            </w:pPr>
            <w:r>
              <w:rPr>
                <w:rFonts w:ascii="Times New Roman"/>
                <w:b w:val="false"/>
                <w:i w:val="false"/>
                <w:color w:val="000000"/>
                <w:sz w:val="20"/>
              </w:rPr>
              <w:t>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"Орман шаруашылығы саласындағы мемлекеттік мекемелер көрсететін қызметтер:</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w:t>
            </w:r>
          </w:p>
          <w:p>
            <w:pPr>
              <w:spacing w:after="20"/>
              <w:ind w:left="20"/>
              <w:jc w:val="both"/>
            </w:pPr>
            <w:r>
              <w:rPr>
                <w:rFonts w:ascii="Times New Roman"/>
                <w:b w:val="false"/>
                <w:i w:val="false"/>
                <w:color w:val="000000"/>
                <w:sz w:val="20"/>
              </w:rPr>
              <w:t>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мекемелері қызметкерлерінің еңбек көрсеткіштері үшін көтермелеу.</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шілдедегі Орман кодексінің 112-бабы,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үшін отырғызылатын материалдарды өсіру және орман тұқымдарын жинау, көгалдандыру, қорғау, плантациялық және өзге де екпелерді отырғызу, оқу практикаларын өткізу;</w:t>
            </w: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және өзге де мақсаттарда ағаш кесу және басқа да,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сүректі қайта өңдеу жөнінде қызметтер көрсету;</w:t>
            </w: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үшін орманды ұзақ мерзімді пайдалануға берілген мемлекеттік орман қоры учаскелерінде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өсіру саласындағы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 құрылыстар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қызметкерлерін еңбектегі көрсеткіштері үшін көтермелеу.</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