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08e6" w14:textId="00a0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тамыздағы № ҚР ДСМ-115 бұйрығы. Қазақстан Республикасының Әділет министрлігінде 2019 жылғы 29 тамызда № 19304 болып тіркелді. Күші жойылды - Қазақстан Республикасы Денсаулық сақтау министрінің 2020 жылғы 20 қазандағы № ҚР ДСМ - 142/2020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- 142/2020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110)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11511 болып тіркелген, "Әділет" ақпараттық-құқықтық жүйесінде 2015 жылғы 15 шілдеде жарияланған)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Орфандық (сирек кездесетін) аурулардың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реттік нөмірі 57-жолмен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171"/>
        <w:gridCol w:w="5640"/>
        <w:gridCol w:w="439"/>
        <w:gridCol w:w="251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қайта қаралған аурулардың халықаралық жіктемесі бойынша аурулар (топ) - (бұдан әрі - АХЖ-10)</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аурулардың синонимдері мен атаулары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коды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синапсы және бұлшықет аурулары</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дистрофиясы: Дюшенн немесе Беккер типті аутосомды рецессивті, ерте контрактуралары (Эмери-Дрейфус) бар жауырын-перонеальды), дистальды иық-жауырын-бет, аяқ-қол-бел, көз бұлшық еті, көз жұтқыншақ (окулофарингеалды). </w:t>
            </w:r>
            <w:r>
              <w:br/>
            </w:r>
            <w:r>
              <w:rPr>
                <w:rFonts w:ascii="Times New Roman"/>
                <w:b w:val="false"/>
                <w:i w:val="false"/>
                <w:color w:val="000000"/>
                <w:sz w:val="20"/>
              </w:rPr>
              <w:t>
Миотоникалық Штейнер дистрофиясы. Миотония туа біткен Томсен. Исаакс нейромиотониясы. Туа біткен парамиотония. Туа біткен бұлшықет дистрофиясы: бұлшықет талшығының ерекше морфологиялық зақымдануы. Орталық ядро ауруы, миниядролы, мультиядролы Талшықтар типтерінің диспропорациясы. Миотубулярлы миопатия (орталық ядролы), немалиндік (немалинді дене ауру). Басқа айдарларда жіктелмеген митохондриялық миопатия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бұлшық ет бұзылулары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71.0 –G 71.3</w:t>
            </w:r>
          </w:p>
        </w:tc>
      </w:tr>
    </w:tbl>
    <w:bookmarkStart w:name="z3"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5"/>
    <w:bookmarkStart w:name="z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