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37df" w14:textId="5f33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кетуін қайтару қағидаларын бекіту туралы" Қазақстан Республикасы Қаржы министрінің 2018 жылғы 19 наурыздағы № 391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12 тамыздағы № 857 бұйрығы. Қазақстан Республикасының Әділет министрлігінде 2019 жылғы 16 тамызда № 19254 болып тіркелді. Күші жойылды - Қазақстан Республикасы Қаржы министрінің м.а. 2025 жылғы 30 қазандағы № 649 бұйрығымен.</w:t>
      </w:r>
    </w:p>
    <w:p>
      <w:pPr>
        <w:spacing w:after="0"/>
        <w:ind w:left="0"/>
        <w:jc w:val="both"/>
      </w:pPr>
      <w:r>
        <w:rPr>
          <w:rFonts w:ascii="Times New Roman"/>
          <w:b w:val="false"/>
          <w:i w:val="false"/>
          <w:color w:val="ff0000"/>
          <w:sz w:val="28"/>
        </w:rPr>
        <w:t xml:space="preserve">
      Ескерту. Бұйрықтың күші жойылды- ҚР Қаржы министрінің м.а. 30.10.2025 </w:t>
      </w:r>
      <w:r>
        <w:rPr>
          <w:rFonts w:ascii="Times New Roman"/>
          <w:b w:val="false"/>
          <w:i w:val="false"/>
          <w:color w:val="ff0000"/>
          <w:sz w:val="28"/>
        </w:rPr>
        <w:t>№ 649</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салығының асып кетуін қайтару қағидаларын бекіту туралы" Қазақстан Республикасы Қаржы министрінің 2018 жылғы 19 наурыздағы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16669 болып тіркелген, Қазақстан Республикасының Нормативтік құқықтық актілердің эталондық бақылау банкінде 2018 жылғы 5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салығының асып кетуін қайтару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 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"4-тарау. Арнайы экономикалық аймақтың, "Қорғас" Шекара маңы ынтымақтастық халықаралық орталығы" арнайы экономикалық аймағының ҚҚС асып кетуін қайтару ерекшелігі";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xml:space="preserve"> "Астана-жаңа қала" арнайы экономикалық аймағының ҚҚС асып кетуін қайтару ерекшелігі алып тасталсын.</w:t>
      </w:r>
    </w:p>
    <w:bookmarkStart w:name="z6"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актілердің эталондық бақылау банкіне енгізу үшін жолдануын;</w:t>
      </w:r>
    </w:p>
    <w:bookmarkEnd w:id="5"/>
    <w:bookmarkStart w:name="z9"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10"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 күннен бастап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Бірінші орынбасары -</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