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fe14" w14:textId="7fdf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513 бұйрығы. Қазақстан Республикасының Әділет министрлігінде 2019 жылғы 31 мамырда № 18767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 тізіліміне есепке алу объектілері деректерін енгізудің, сондай-ақ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7375 болып тіркелген, 2012 жылы Қазақстан Республикасының орталық атқарушы және өзге де мемлекеттік органдарының нормативтік құқықтық актілері бюллетенінде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тізіліміне есепке алу объектілері деректерін енгізудің, сондай-ақ мемлекеттік мүлікке түгендеу, паспорттау және қайта бағалау жүргізудің бірыңғай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xml:space="preserve">
      "мемлекеттік мекемелер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15594 болып тіркелген) (бұдан әрі - № 468 бұйрық) нысандар бойынша жылдық қаржылық есептілікті ұсынады.";</w:t>
      </w:r>
    </w:p>
    <w:bookmarkEnd w:id="3"/>
    <w:bookmarkStart w:name="z6"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"1) электрондық есеп Интернет желісінде www.gosreestr.kz мекенжайы бойынша Тізілімнің веб-порталында орналасқан бағдарламалық қамтамасыз ету арқылы жасалады. Бағдарламалық қамтамасыз етумен жұмыс істеу нәтижесінде оған ұлттық куәландыру орталығы берген мемлекеттік заңды тұлғаның электрондық сандық қолтаңбасы қойылатын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мүлікке түгендеу, паспорттау және қайта бағалау жүргізу нәтижелері жөніндегі ақпараты және № 468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және оларды жасау мен ұсыну қағидаларының 1, 2, 3, 4, 5 және 6 қосымшаларына сәйкес нысандар бойынша мемлекеттік мекемелердің жылдық қаржылық есептілігі бар файлдар қалыптастырылады;";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"10. Осы Әдістеменің </w:t>
      </w:r>
      <w:r>
        <w:rPr>
          <w:rFonts w:ascii="Times New Roman"/>
          <w:b w:val="false"/>
          <w:i w:val="false"/>
          <w:color w:val="000000"/>
          <w:sz w:val="28"/>
        </w:rPr>
        <w:t>9-тармағына</w:t>
      </w:r>
      <w:r>
        <w:rPr>
          <w:rFonts w:ascii="Times New Roman"/>
          <w:b w:val="false"/>
          <w:i w:val="false"/>
          <w:color w:val="000000"/>
          <w:sz w:val="28"/>
        </w:rPr>
        <w:t xml:space="preserve"> сәйкес салыстыру нәтижесінде айқындалған жылжымайтын мүлік жөніндегі ақпаратты мемлекеттік мүлік бойынша уәкілетті органның келісімі бойынша Бірыңғай оператор есептік жылдан кейінгі жылдың 1 маусымына дейінгі мерзімде электрондық форматта:</w:t>
      </w:r>
    </w:p>
    <w:bookmarkEnd w:id="6"/>
    <w:p>
      <w:pPr>
        <w:spacing w:after="0"/>
        <w:ind w:left="0"/>
        <w:jc w:val="both"/>
      </w:pPr>
      <w:r>
        <w:rPr>
          <w:rFonts w:ascii="Times New Roman"/>
          <w:b w:val="false"/>
          <w:i w:val="false"/>
          <w:color w:val="000000"/>
          <w:sz w:val="28"/>
        </w:rPr>
        <w:t xml:space="preserve">
      1)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паспорттандыру және мүлік құқығын мемлекеттік тіркеу бойынша жұмысты республикалық немесе жергілікті бюджеттен қаржыландыру көлемін анықтау үшін мемлекеттік мекемелер бойынша:</w:t>
      </w:r>
    </w:p>
    <w:p>
      <w:pPr>
        <w:spacing w:after="0"/>
        <w:ind w:left="0"/>
        <w:jc w:val="both"/>
      </w:pPr>
      <w:r>
        <w:rPr>
          <w:rFonts w:ascii="Times New Roman"/>
          <w:b w:val="false"/>
          <w:i w:val="false"/>
          <w:color w:val="000000"/>
          <w:sz w:val="28"/>
        </w:rPr>
        <w:t>
      тиісті саланың уәкілетті органына (республикалық мекемелер бойынша);</w:t>
      </w:r>
    </w:p>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мекемелер бойынша);</w:t>
      </w:r>
    </w:p>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мекемелер бойынша);</w:t>
      </w:r>
    </w:p>
    <w:p>
      <w:pPr>
        <w:spacing w:after="0"/>
        <w:ind w:left="0"/>
        <w:jc w:val="both"/>
      </w:pPr>
      <w:r>
        <w:rPr>
          <w:rFonts w:ascii="Times New Roman"/>
          <w:b w:val="false"/>
          <w:i w:val="false"/>
          <w:color w:val="000000"/>
          <w:sz w:val="28"/>
        </w:rPr>
        <w:t>
      жергілікті өзін-өзі басқарудың мүлікін басқаруға уәкілетті жергілікті бюджеттен қаржыландыратын атқарушы органға (аудандық маңызы бар қала, ауыл, кент, ауылдық округ әкімі аппаратының коммуналдық мекемелері бойынша);</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паспорттандыру және мүлік құқығын мемлекеттік тіркеу бойынша шығындарды дамыту жоспарларына қосу үшін мемлекеттік кәсіпорындар бойынша:</w:t>
      </w:r>
    </w:p>
    <w:p>
      <w:pPr>
        <w:spacing w:after="0"/>
        <w:ind w:left="0"/>
        <w:jc w:val="both"/>
      </w:pPr>
      <w:r>
        <w:rPr>
          <w:rFonts w:ascii="Times New Roman"/>
          <w:b w:val="false"/>
          <w:i w:val="false"/>
          <w:color w:val="000000"/>
          <w:sz w:val="28"/>
        </w:rPr>
        <w:t>
      тиісті саланың уәкілетті органына (республикалық кәсіпорындар бойынша);</w:t>
      </w:r>
    </w:p>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кәсіпорындар бойынша);</w:t>
      </w:r>
    </w:p>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кәсіпорындар бойынша);</w:t>
      </w:r>
    </w:p>
    <w:p>
      <w:pPr>
        <w:spacing w:after="0"/>
        <w:ind w:left="0"/>
        <w:jc w:val="both"/>
      </w:pPr>
      <w:r>
        <w:rPr>
          <w:rFonts w:ascii="Times New Roman"/>
          <w:b w:val="false"/>
          <w:i w:val="false"/>
          <w:color w:val="000000"/>
          <w:sz w:val="28"/>
        </w:rPr>
        <w:t>
      жергілікті өзін-өзі басқарудың мүлікті басқаруға уәкілетті жергілікті бюджеттен қаржыландыратын атқарушы органға (аудандық маңызы бар қала, ауыл, кент, ауылдық округ әкімі аппаратының коммуналдық кәсіпорындары бойынша) жібереді.".</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бұйрық Қазақстан Республикасы Қаржы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іс-шараларды орындау туралы ақпаратты Қазақстан Республикасы Қаржы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2"/>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