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c64a" w14:textId="e26c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күш-жігер нормативтерін бекіту туралы" Қазақстан Республикасы Премьер-Министрінің орынбасары – Қазақстан Республикасы Ауыл шаруашылығы министрінің 2018 жылғы 12 шiлдедегi № 298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29 мамырдағы № 215 бұйрығы. Қазақстан Республикасының Әділет министрлігінде 2019 жылғы 30 мамырда № 18749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"Кәсіпшілік күш-жігер нормативтерін бекіту туралы" Қазақстан Республикасы Премьер-Министрінің орынбасары – Қазақстан Республикасы Ауыл шаруашылығы министрінің 2018 жылғы 12 шілдедегі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17257 болып тіркелген, 2018 жылғы 8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 шаруашылығы су айдындарындағы және (немесе) учаскелеріндегі кәсіпшілік күш-жігер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министірінің </w:t>
            </w:r>
            <w:r>
              <w:br/>
            </w:r>
            <w:r>
              <w:rPr>
                <w:rFonts w:ascii="Times New Roman"/>
                <w:b w:val="false"/>
                <w:i w:val="false"/>
                <w:color w:val="000000"/>
                <w:sz w:val="20"/>
              </w:rPr>
              <w:t>2019 жылғы " __"</w:t>
            </w:r>
            <w:r>
              <w:br/>
            </w:r>
            <w:r>
              <w:rPr>
                <w:rFonts w:ascii="Times New Roman"/>
                <w:b w:val="false"/>
                <w:i w:val="false"/>
                <w:color w:val="000000"/>
                <w:sz w:val="20"/>
              </w:rPr>
              <w:t xml:space="preserve">№ ______ бұйрығына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Балық шаруашылығы су айдындары және (немесе) учаскелерінің кәсіпшілік күш жігері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007"/>
        <w:gridCol w:w="1324"/>
        <w:gridCol w:w="884"/>
        <w:gridCol w:w="443"/>
        <w:gridCol w:w="1053"/>
        <w:gridCol w:w="1328"/>
        <w:gridCol w:w="1053"/>
        <w:gridCol w:w="522"/>
        <w:gridCol w:w="530"/>
        <w:gridCol w:w="775"/>
        <w:gridCol w:w="385"/>
        <w:gridCol w:w="390"/>
        <w:gridCol w:w="776"/>
        <w:gridCol w:w="1055"/>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Жылымдардың/қабадалардың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су айдындары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(Теңізде аулау)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Арал теңізі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балықшыға аулардың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аулардың (сүйретпелердің)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шақырым учаскенің ұзындығына балықшылардың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шақырым учаскенің ұзындығына кемелердің саны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су айдындары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Аулардың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аулар саны,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аулаумен айналысатын балықшылар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4" w:id="12"/>
    <w:p>
      <w:pPr>
        <w:spacing w:after="0"/>
        <w:ind w:left="0"/>
        <w:jc w:val="both"/>
      </w:pPr>
      <w:r>
        <w:rPr>
          <w:rFonts w:ascii="Times New Roman"/>
          <w:b w:val="false"/>
          <w:i w:val="false"/>
          <w:color w:val="000000"/>
          <w:sz w:val="28"/>
        </w:rPr>
        <w:t xml:space="preserve">
      Ескертпе: </w:t>
      </w:r>
    </w:p>
    <w:bookmarkEnd w:id="12"/>
    <w:p>
      <w:pPr>
        <w:spacing w:after="0"/>
        <w:ind w:left="0"/>
        <w:jc w:val="both"/>
      </w:pPr>
      <w:r>
        <w:rPr>
          <w:rFonts w:ascii="Times New Roman"/>
          <w:b w:val="false"/>
          <w:i w:val="false"/>
          <w:color w:val="000000"/>
          <w:sz w:val="28"/>
        </w:rPr>
        <w:t>
      *к/у – кәсіптік балық аулау учаскелері;</w:t>
      </w:r>
    </w:p>
    <w:p>
      <w:pPr>
        <w:spacing w:after="0"/>
        <w:ind w:left="0"/>
        <w:jc w:val="both"/>
      </w:pPr>
      <w:r>
        <w:rPr>
          <w:rFonts w:ascii="Times New Roman"/>
          <w:b w:val="false"/>
          <w:i w:val="false"/>
          <w:color w:val="000000"/>
          <w:sz w:val="28"/>
        </w:rPr>
        <w:t>
      ** – кемелер ретінде шағын көлемді кемеден басқа балық аулауға қолданылатын барлық кемелер түрі пайымдалады;</w:t>
      </w:r>
    </w:p>
    <w:p>
      <w:pPr>
        <w:spacing w:after="0"/>
        <w:ind w:left="0"/>
        <w:jc w:val="both"/>
      </w:pPr>
      <w:r>
        <w:rPr>
          <w:rFonts w:ascii="Times New Roman"/>
          <w:b w:val="false"/>
          <w:i w:val="false"/>
          <w:color w:val="000000"/>
          <w:sz w:val="28"/>
        </w:rPr>
        <w:t>
      *** – балық шаруашылығы учаскесінің паспортына сәйкес жаға бойынша учаскенің ұзындығы.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