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2d59" w14:textId="6dd2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Қаржы министрінің 2018 жылғы 12 ақпандағы № 166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мамырдағы № 505 бұйрығы. Қазақстан Республикасының Әділет министрлігінде 2019 жылғы 30 мамырда № 18748 болып тіркелді. Күші жойылды - Қазақстан Республикасы Қаржы министрінің 2024 жылғы 24 желтоқсандағы № 869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24.12.2024 </w:t>
      </w:r>
      <w:r>
        <w:rPr>
          <w:rFonts w:ascii="Times New Roman"/>
          <w:b w:val="false"/>
          <w:i w:val="false"/>
          <w:color w:val="ff0000"/>
          <w:sz w:val="28"/>
        </w:rPr>
        <w:t>№ 869</w:t>
      </w:r>
      <w:r>
        <w:rPr>
          <w:rFonts w:ascii="Times New Roman"/>
          <w:b w:val="false"/>
          <w:i w:val="false"/>
          <w:color w:val="ff0000"/>
          <w:sz w:val="28"/>
        </w:rPr>
        <w:t xml:space="preserve"> (01.01.2025 бастап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Қаржы министрінің 2018 жылғы 12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16448 болып тіркелген, 2018 жылғы 16 наурызда Қазақстан Республикасы нормативтік құқықтық актілердің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бойынша декларация (300.00-нысан)"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"54. Осы нысан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434-баптарына</w:t>
      </w:r>
      <w:r>
        <w:rPr>
          <w:rFonts w:ascii="Times New Roman"/>
          <w:b w:val="false"/>
          <w:i w:val="false"/>
          <w:color w:val="000000"/>
          <w:sz w:val="28"/>
        </w:rPr>
        <w:t xml:space="preserve"> сәйкес қайтаруға ұсынылған ҚҚС сомалары бойынша мәліметтерді егжей-тегжейлі көрсетуге арналған.";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екінші бөлімнің 2) 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"2) 300.09.001 І жолында 300.09.001 ІІ, 300.09.001 ІІІ, 300.09.001 IV, 300.09.001 V, 300.09.001 VI жолдарындағы ҚҚС асып кету сомасын қоспағанда, нөлдік мөлшерлемемен салық салынатын айналымдар бойынша қалыптасқан, оның ішінде талап ету мерзімі шегінде салық кезеңдері бойынша бөле отырып, қайтаруға ұсынылған ҚҚС асып кету сомасы көрсетіледі. </w:t>
      </w:r>
    </w:p>
    <w:bookmarkEnd w:id="5"/>
    <w:p>
      <w:pPr>
        <w:spacing w:after="0"/>
        <w:ind w:left="0"/>
        <w:jc w:val="both"/>
      </w:pPr>
      <w:r>
        <w:rPr>
          <w:rFonts w:ascii="Times New Roman"/>
          <w:b w:val="false"/>
          <w:i w:val="false"/>
          <w:color w:val="000000"/>
          <w:sz w:val="28"/>
        </w:rPr>
        <w:t xml:space="preserve">
      Бұл жол, сондай-ақ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ҚҚС қайтару тәртібін қолданудан бас тартқан жағдайда толтырылады;";</w:t>
      </w:r>
    </w:p>
    <w:bookmarkStart w:name="z9" w:id="6"/>
    <w:p>
      <w:pPr>
        <w:spacing w:after="0"/>
        <w:ind w:left="0"/>
        <w:jc w:val="both"/>
      </w:pPr>
      <w:r>
        <w:rPr>
          <w:rFonts w:ascii="Times New Roman"/>
          <w:b w:val="false"/>
          <w:i w:val="false"/>
          <w:color w:val="000000"/>
          <w:sz w:val="28"/>
        </w:rPr>
        <w:t>
      екінші бөлімнің 7) тармақшасы мынадай редакцияда жазылсын:</w:t>
      </w:r>
    </w:p>
    <w:bookmarkEnd w:id="6"/>
    <w:bookmarkStart w:name="z10" w:id="7"/>
    <w:p>
      <w:pPr>
        <w:spacing w:after="0"/>
        <w:ind w:left="0"/>
        <w:jc w:val="both"/>
      </w:pPr>
      <w:r>
        <w:rPr>
          <w:rFonts w:ascii="Times New Roman"/>
          <w:b w:val="false"/>
          <w:i w:val="false"/>
          <w:color w:val="000000"/>
          <w:sz w:val="28"/>
        </w:rPr>
        <w:t xml:space="preserve">
      "7) 300.09.001 VI жолында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қайтарудың оңайлатылған тәртібін қолданғаннан кейін қалған, Салық кодексінің 429-бабы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оның ішінде талап ету мерзімі шегінде салық кезеңдері бойынша бөле отырып, ҚҚС асып кету сомасы көрсетіледі. 300.09.001 жолының сомасы 300.00.032 жолына көшіріледі.";</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"Көлік құралдары салығы, жер салығы мен мүлік салығы бойынша декларация (700.00-нысан)"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Салық жеңілдігінің кодында:</w:t>
      </w:r>
    </w:p>
    <w:bookmarkEnd w:id="9"/>
    <w:bookmarkStart w:name="z14" w:id="10"/>
    <w:p>
      <w:pPr>
        <w:spacing w:after="0"/>
        <w:ind w:left="0"/>
        <w:jc w:val="both"/>
      </w:pPr>
      <w:r>
        <w:rPr>
          <w:rFonts w:ascii="Times New Roman"/>
          <w:b w:val="false"/>
          <w:i w:val="false"/>
          <w:color w:val="000000"/>
          <w:sz w:val="28"/>
        </w:rPr>
        <w:t>
      9-реттік нөмірдің жолы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әуеайлақтарындағы ұшу-қону жолақтарын және әуежайларындағы терминалдарды қоспағанда, әуеайлақтардағы ұшу-қону жолақтары және әуежайлардағы терминалдар бойынша заңды тұлғалар.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56-қосымша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жаңа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"Ойын бизнесі салығы және тіркелген салық бойынша декларация (710.00-нысан)"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 Осы "Ойын бизнесі салығы және тіркелген салық бойынша декларация (710.00-нысан)" Салық есептілігін жасау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Кодексіне (Салық кодексі) сәйкес әзірленген және ойын бизнесі салығын және тіркелген салықты есептеуге арналған, сондай-ақ қосылған құн салығы бойынша "Ойын бизнесі салығы және тіркелген салық бойынша декларация" Салық есептілігі нысанын жасау (бұдан әрі - декларация) тәртібін айқындайды. Декларацияны:</w:t>
      </w:r>
    </w:p>
    <w:bookmarkEnd w:id="1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534-бабына</w:t>
      </w:r>
      <w:r>
        <w:rPr>
          <w:rFonts w:ascii="Times New Roman"/>
          <w:b w:val="false"/>
          <w:i w:val="false"/>
          <w:color w:val="000000"/>
          <w:sz w:val="28"/>
        </w:rPr>
        <w:t xml:space="preserve"> сәйкес ойын бизнесі саласында қызметті жүзеге асыратын, сондай-ақ қосылған құн салығын төлеуші болып табылатын заңды тұлғалар;</w:t>
      </w:r>
    </w:p>
    <w:p>
      <w:pPr>
        <w:spacing w:after="0"/>
        <w:ind w:left="0"/>
        <w:jc w:val="both"/>
      </w:pPr>
      <w:r>
        <w:rPr>
          <w:rFonts w:ascii="Times New Roman"/>
          <w:b w:val="false"/>
          <w:i w:val="false"/>
          <w:color w:val="000000"/>
          <w:sz w:val="28"/>
        </w:rPr>
        <w:t xml:space="preserve">
      уәкілетті ұйымдар, сондай-ақ Салық кодексінің </w:t>
      </w:r>
      <w:r>
        <w:rPr>
          <w:rFonts w:ascii="Times New Roman"/>
          <w:b w:val="false"/>
          <w:i w:val="false"/>
          <w:color w:val="000000"/>
          <w:sz w:val="28"/>
        </w:rPr>
        <w:t>544-бабына</w:t>
      </w:r>
      <w:r>
        <w:rPr>
          <w:rFonts w:ascii="Times New Roman"/>
          <w:b w:val="false"/>
          <w:i w:val="false"/>
          <w:color w:val="000000"/>
          <w:sz w:val="28"/>
        </w:rPr>
        <w:t xml:space="preserve"> сәйкес тіркелген салық салынатын қызмет көрсету бойынша қызметті жүзеге асыратын жеке кәсіпкерлер мен заңды тұлғалар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7) тармақшасы мынадай редакцияда жазылсын:</w:t>
      </w:r>
    </w:p>
    <w:bookmarkStart w:name="z20" w:id="14"/>
    <w:p>
      <w:pPr>
        <w:spacing w:after="0"/>
        <w:ind w:left="0"/>
        <w:jc w:val="both"/>
      </w:pPr>
      <w:r>
        <w:rPr>
          <w:rFonts w:ascii="Times New Roman"/>
          <w:b w:val="false"/>
          <w:i w:val="false"/>
          <w:color w:val="000000"/>
          <w:sz w:val="28"/>
        </w:rPr>
        <w:t>
      "7) төлеушінің санаты.</w:t>
      </w:r>
    </w:p>
    <w:bookmarkEnd w:id="14"/>
    <w:p>
      <w:pPr>
        <w:spacing w:after="0"/>
        <w:ind w:left="0"/>
        <w:jc w:val="both"/>
      </w:pPr>
      <w:r>
        <w:rPr>
          <w:rFonts w:ascii="Times New Roman"/>
          <w:b w:val="false"/>
          <w:i w:val="false"/>
          <w:color w:val="000000"/>
          <w:sz w:val="28"/>
        </w:rPr>
        <w:t xml:space="preserve">
      А - Салық кодексінің </w:t>
      </w:r>
      <w:r>
        <w:rPr>
          <w:rFonts w:ascii="Times New Roman"/>
          <w:b w:val="false"/>
          <w:i w:val="false"/>
          <w:color w:val="000000"/>
          <w:sz w:val="28"/>
        </w:rPr>
        <w:t>534-бабына</w:t>
      </w:r>
      <w:r>
        <w:rPr>
          <w:rFonts w:ascii="Times New Roman"/>
          <w:b w:val="false"/>
          <w:i w:val="false"/>
          <w:color w:val="000000"/>
          <w:sz w:val="28"/>
        </w:rPr>
        <w:t xml:space="preserve"> сәйкес ойын бизнесі салығының төлеушісі;</w:t>
      </w:r>
    </w:p>
    <w:p>
      <w:pPr>
        <w:spacing w:after="0"/>
        <w:ind w:left="0"/>
        <w:jc w:val="both"/>
      </w:pPr>
      <w:r>
        <w:rPr>
          <w:rFonts w:ascii="Times New Roman"/>
          <w:b w:val="false"/>
          <w:i w:val="false"/>
          <w:color w:val="000000"/>
          <w:sz w:val="28"/>
        </w:rPr>
        <w:t xml:space="preserve">
      В - Салық кодексінің </w:t>
      </w:r>
      <w:r>
        <w:rPr>
          <w:rFonts w:ascii="Times New Roman"/>
          <w:b w:val="false"/>
          <w:i w:val="false"/>
          <w:color w:val="000000"/>
          <w:sz w:val="28"/>
        </w:rPr>
        <w:t>544-бабына</w:t>
      </w:r>
      <w:r>
        <w:rPr>
          <w:rFonts w:ascii="Times New Roman"/>
          <w:b w:val="false"/>
          <w:i w:val="false"/>
          <w:color w:val="000000"/>
          <w:sz w:val="28"/>
        </w:rPr>
        <w:t xml:space="preserve"> сәйкес тіркелген салық төлеушісі;</w:t>
      </w:r>
    </w:p>
    <w:p>
      <w:pPr>
        <w:spacing w:after="0"/>
        <w:ind w:left="0"/>
        <w:jc w:val="both"/>
      </w:pPr>
      <w:r>
        <w:rPr>
          <w:rFonts w:ascii="Times New Roman"/>
          <w:b w:val="false"/>
          <w:i w:val="false"/>
          <w:color w:val="000000"/>
          <w:sz w:val="28"/>
        </w:rPr>
        <w:t xml:space="preserve">
      С - Салық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 бойынша тіркеу есебіне қою жүргізілген салық төлеуші.</w:t>
      </w:r>
    </w:p>
    <w:p>
      <w:pPr>
        <w:spacing w:after="0"/>
        <w:ind w:left="0"/>
        <w:jc w:val="both"/>
      </w:pPr>
      <w:r>
        <w:rPr>
          <w:rFonts w:ascii="Times New Roman"/>
          <w:b w:val="false"/>
          <w:i w:val="false"/>
          <w:color w:val="000000"/>
          <w:sz w:val="28"/>
        </w:rPr>
        <w:t>
      Егер салық төлеуші бір мезгілде ойын бизнесі салығын және тіркелген салық төлеушісі болып табылса А және В торкөздерінің екеуі 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 "Салық төлеушінің (басшының) тегі, аты, әкесінің аты (болған кезде)" жолында құрылтай құжаттарына сәйкес басшының тегі, аты, әкесінің аты (болған кезде) көрсетіледі. Егер декларацияны жеке тұлға тапсырған жағдайда жолда салық төлеушінің тегі, аты, әкесінің аты (болған кезде) көрсетіледі, деректер жеке басын куәландыратын құжаттарға сәйкес толтырылады;</w:t>
      </w:r>
    </w:p>
    <w:bookmarkEnd w:id="15"/>
    <w:p>
      <w:pPr>
        <w:spacing w:after="0"/>
        <w:ind w:left="0"/>
        <w:jc w:val="both"/>
      </w:pPr>
      <w:r>
        <w:rPr>
          <w:rFonts w:ascii="Times New Roman"/>
          <w:b w:val="false"/>
          <w:i w:val="false"/>
          <w:color w:val="000000"/>
          <w:sz w:val="28"/>
        </w:rPr>
        <w:t>
      2) декларацияны тапсыру күні – декларацияны мемлекеттік кірістер органына ұсыну күні;</w:t>
      </w:r>
    </w:p>
    <w:p>
      <w:pPr>
        <w:spacing w:after="0"/>
        <w:ind w:left="0"/>
        <w:jc w:val="both"/>
      </w:pPr>
      <w:r>
        <w:rPr>
          <w:rFonts w:ascii="Times New Roman"/>
          <w:b w:val="false"/>
          <w:i w:val="false"/>
          <w:color w:val="000000"/>
          <w:sz w:val="28"/>
        </w:rPr>
        <w:t>
      3) мемлекеттік кірістер органының коды – жекелеген қызмет түрлерін жүзеге асыратын салық төлеуші ретінде тіркеу орны бойынша мемлекеттік кірістер органының коды;</w:t>
      </w:r>
    </w:p>
    <w:p>
      <w:pPr>
        <w:spacing w:after="0"/>
        <w:ind w:left="0"/>
        <w:jc w:val="both"/>
      </w:pPr>
      <w:r>
        <w:rPr>
          <w:rFonts w:ascii="Times New Roman"/>
          <w:b w:val="false"/>
          <w:i w:val="false"/>
          <w:color w:val="000000"/>
          <w:sz w:val="28"/>
        </w:rPr>
        <w:t>
      3-1) салық төлеушінің орналасқан жері бойынша мемлекеттік кірістер органының коды көрсетіледі;</w:t>
      </w:r>
    </w:p>
    <w:p>
      <w:pPr>
        <w:spacing w:after="0"/>
        <w:ind w:left="0"/>
        <w:jc w:val="both"/>
      </w:pPr>
      <w:r>
        <w:rPr>
          <w:rFonts w:ascii="Times New Roman"/>
          <w:b w:val="false"/>
          <w:i w:val="false"/>
          <w:color w:val="000000"/>
          <w:sz w:val="28"/>
        </w:rPr>
        <w:t>
      4) "Декларацияны қабылдаған лауазымды тұлғаның тегі, аты, әкесінің аты (болған кезде)" жолында декларацияны қабылдаған мемлекеттік кірістер органы қызметкерінің тегі, аты, әкесінің аты (болған кезде) көрсетіледі;</w:t>
      </w:r>
    </w:p>
    <w:p>
      <w:pPr>
        <w:spacing w:after="0"/>
        <w:ind w:left="0"/>
        <w:jc w:val="both"/>
      </w:pPr>
      <w:r>
        <w:rPr>
          <w:rFonts w:ascii="Times New Roman"/>
          <w:b w:val="false"/>
          <w:i w:val="false"/>
          <w:color w:val="000000"/>
          <w:sz w:val="28"/>
        </w:rPr>
        <w:t xml:space="preserve">
      5) декларацияны қабылдау күні – Салық кодексінің 206-бабы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w:t>
      </w:r>
    </w:p>
    <w:p>
      <w:pPr>
        <w:spacing w:after="0"/>
        <w:ind w:left="0"/>
        <w:jc w:val="both"/>
      </w:pPr>
      <w:r>
        <w:rPr>
          <w:rFonts w:ascii="Times New Roman"/>
          <w:b w:val="false"/>
          <w:i w:val="false"/>
          <w:color w:val="000000"/>
          <w:sz w:val="28"/>
        </w:rPr>
        <w:t>
      6) құжаттың кіріс нөмірі – мемлекеттік кірістер органы берген декларацияның тіркеу нөмірі;</w:t>
      </w:r>
    </w:p>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w:t>
      </w:r>
    </w:p>
    <w:p>
      <w:pPr>
        <w:spacing w:after="0"/>
        <w:ind w:left="0"/>
        <w:jc w:val="both"/>
      </w:pPr>
      <w:r>
        <w:rPr>
          <w:rFonts w:ascii="Times New Roman"/>
          <w:b w:val="false"/>
          <w:i w:val="false"/>
          <w:color w:val="000000"/>
          <w:sz w:val="28"/>
        </w:rPr>
        <w:t>
      Осы тармақтың 4), 5), 6) және 7) тармақшалары декларацияны қағаз жеткізгіште қабылдаған мемлекеттік кірістер органының қызметкері толтырады.";</w:t>
      </w:r>
    </w:p>
    <w:bookmarkStart w:name="z23" w:id="16"/>
    <w:p>
      <w:pPr>
        <w:spacing w:after="0"/>
        <w:ind w:left="0"/>
        <w:jc w:val="both"/>
      </w:pPr>
      <w:r>
        <w:rPr>
          <w:rFonts w:ascii="Times New Roman"/>
          <w:b w:val="false"/>
          <w:i w:val="false"/>
          <w:color w:val="000000"/>
          <w:sz w:val="28"/>
        </w:rPr>
        <w:t>
      мынадай мазмұндағы 21-1-тармақпен толтырылсын:</w:t>
      </w:r>
    </w:p>
    <w:bookmarkEnd w:id="16"/>
    <w:bookmarkStart w:name="z24" w:id="17"/>
    <w:p>
      <w:pPr>
        <w:spacing w:after="0"/>
        <w:ind w:left="0"/>
        <w:jc w:val="both"/>
      </w:pPr>
      <w:r>
        <w:rPr>
          <w:rFonts w:ascii="Times New Roman"/>
          <w:b w:val="false"/>
          <w:i w:val="false"/>
          <w:color w:val="000000"/>
          <w:sz w:val="28"/>
        </w:rPr>
        <w:t>
      "21-1. "Ойын бизнесі бойынша қосылған құн салығы" бөлімінде:</w:t>
      </w:r>
    </w:p>
    <w:bookmarkEnd w:id="17"/>
    <w:p>
      <w:pPr>
        <w:spacing w:after="0"/>
        <w:ind w:left="0"/>
        <w:jc w:val="both"/>
      </w:pPr>
      <w:r>
        <w:rPr>
          <w:rFonts w:ascii="Times New Roman"/>
          <w:b w:val="false"/>
          <w:i w:val="false"/>
          <w:color w:val="000000"/>
          <w:sz w:val="28"/>
        </w:rPr>
        <w:t>
      710.01.013 жолында казино, ойын автоматтарының залдары, тотализаторлар және букмекерлік кеңселер қызметін көрсету бойынша қызметті жүзеге асыру нәтижесінде салық кезеңі үшін алынған кіріс мөлшерінде айқындалған салық салынатын айналым көрсетіледі;</w:t>
      </w:r>
    </w:p>
    <w:p>
      <w:pPr>
        <w:spacing w:after="0"/>
        <w:ind w:left="0"/>
        <w:jc w:val="both"/>
      </w:pPr>
      <w:r>
        <w:rPr>
          <w:rFonts w:ascii="Times New Roman"/>
          <w:b w:val="false"/>
          <w:i w:val="false"/>
          <w:color w:val="000000"/>
          <w:sz w:val="28"/>
        </w:rPr>
        <w:t>
      710.01.014 жолында 710.01.013 жолында көрсетілген салық салынатын айналым бойынша қосылған құн салығы көрсетіледі;</w:t>
      </w:r>
    </w:p>
    <w:p>
      <w:pPr>
        <w:spacing w:after="0"/>
        <w:ind w:left="0"/>
        <w:jc w:val="both"/>
      </w:pPr>
      <w:r>
        <w:rPr>
          <w:rFonts w:ascii="Times New Roman"/>
          <w:b w:val="false"/>
          <w:i w:val="false"/>
          <w:color w:val="000000"/>
          <w:sz w:val="28"/>
        </w:rPr>
        <w:t>
      710.01.015 жолында есепке жатқызуға рұқсат етілген және 710.01.014 жолында көрсетілген салық салынатын айналым бойынша қосылған құн салығынан 85 % мөлшерінде айқындалған қосылған құн салығы көрсетіледі;</w:t>
      </w:r>
    </w:p>
    <w:p>
      <w:pPr>
        <w:spacing w:after="0"/>
        <w:ind w:left="0"/>
        <w:jc w:val="both"/>
      </w:pPr>
      <w:r>
        <w:rPr>
          <w:rFonts w:ascii="Times New Roman"/>
          <w:b w:val="false"/>
          <w:i w:val="false"/>
          <w:color w:val="000000"/>
          <w:sz w:val="28"/>
        </w:rPr>
        <w:t>
      710.01.016 жолында 710.01.014 және 710.01.015 жолдарының айырмасы ретінде айқындалатын, есептелген қосылған құн салығының сомасы көрсетіледі.".</w:t>
      </w:r>
    </w:p>
    <w:bookmarkStart w:name="z25" w:id="1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7" w:id="2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20"/>
    <w:bookmarkStart w:name="z28" w:id="2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1"/>
    <w:bookmarkStart w:name="z29" w:id="2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29 мамырдағы</w:t>
            </w:r>
            <w:r>
              <w:br/>
            </w:r>
            <w:r>
              <w:rPr>
                <w:rFonts w:ascii="Times New Roman"/>
                <w:b w:val="false"/>
                <w:i w:val="false"/>
                <w:color w:val="000000"/>
                <w:sz w:val="20"/>
              </w:rPr>
              <w:t xml:space="preserve">№505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12 ақпандағы </w:t>
            </w:r>
            <w:r>
              <w:br/>
            </w:r>
            <w:r>
              <w:rPr>
                <w:rFonts w:ascii="Times New Roman"/>
                <w:b w:val="false"/>
                <w:i w:val="false"/>
                <w:color w:val="000000"/>
                <w:sz w:val="20"/>
              </w:rPr>
              <w:t xml:space="preserve">№ 166 бұйрығына </w:t>
            </w:r>
            <w:r>
              <w:br/>
            </w:r>
            <w:r>
              <w:rPr>
                <w:rFonts w:ascii="Times New Roman"/>
                <w:b w:val="false"/>
                <w:i w:val="false"/>
                <w:color w:val="000000"/>
                <w:sz w:val="20"/>
              </w:rPr>
              <w:t>56-қосымша</w:t>
            </w:r>
          </w:p>
        </w:tc>
      </w:tr>
    </w:tbl>
    <w:p>
      <w:pPr>
        <w:spacing w:after="0"/>
        <w:ind w:left="0"/>
        <w:jc w:val="left"/>
      </w:pPr>
      <w:r>
        <w:br/>
      </w:r>
    </w:p>
    <w:p>
      <w:pPr>
        <w:spacing w:after="0"/>
        <w:ind w:left="0"/>
        <w:jc w:val="both"/>
      </w:pPr>
      <w:r>
        <w:drawing>
          <wp:inline distT="0" distB="0" distL="0" distR="0">
            <wp:extent cx="7810500" cy="1144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4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4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44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1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1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