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b5aa" w14:textId="201b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спорттық және спорттық-бұқаралық іс-шаралардың афишаларын орналастыру үшін арнайы бөлінген орындар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27 мамырдағы № 44 бұйрығы. Қазақстан Республикасының Әділет министрлігінде 2019 жылғы 29 мамырда № 18746 болып тіркелді. Күші жойылды - Қазақстан Республикасы Ұлттық экономика министрінің 2023 жылғы 12 шiлдедегi № 136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12.07.2023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"Жарнама туралы" 2003 жылғы 19 желтоқсандағы Қазақстан Республикасы Заңының 17-1-бабы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 спорттық және спорттық-бұқаралық іс-шаралардың афишаларын орналастыру үшін арнайы бөлінген орындар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саясат және мемлекеттік органдарды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мамырдағы</w:t>
            </w:r>
            <w:r>
              <w:br/>
            </w:r>
            <w:r>
              <w:rPr>
                <w:rFonts w:ascii="Times New Roman"/>
                <w:b w:val="false"/>
                <w:i w:val="false"/>
                <w:color w:val="000000"/>
                <w:sz w:val="20"/>
              </w:rPr>
              <w:t xml:space="preserve">№ 44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Мәдени, спорттық және спорттық-бұқаралық іс-шаралардың афишаларын орналастыру үшін арнайы бөлінген орындар тізбесі</w:t>
      </w:r>
    </w:p>
    <w:bookmarkEnd w:id="9"/>
    <w:bookmarkStart w:name="z12" w:id="10"/>
    <w:p>
      <w:pPr>
        <w:spacing w:after="0"/>
        <w:ind w:left="0"/>
        <w:jc w:val="both"/>
      </w:pPr>
      <w:r>
        <w:rPr>
          <w:rFonts w:ascii="Times New Roman"/>
          <w:b w:val="false"/>
          <w:i w:val="false"/>
          <w:color w:val="000000"/>
          <w:sz w:val="28"/>
        </w:rPr>
        <w:t>
      1) мәдени, спорттық ғимараттар мен құрылыстар аумағында мәдени, спорттық және спорттық-бұқаралық іс-шаралардың афишаларын орналастыру үшін пайдаланылатын конструкциялар;</w:t>
      </w:r>
    </w:p>
    <w:bookmarkEnd w:id="10"/>
    <w:bookmarkStart w:name="z13" w:id="11"/>
    <w:p>
      <w:pPr>
        <w:spacing w:after="0"/>
        <w:ind w:left="0"/>
        <w:jc w:val="both"/>
      </w:pPr>
      <w:r>
        <w:rPr>
          <w:rFonts w:ascii="Times New Roman"/>
          <w:b w:val="false"/>
          <w:i w:val="false"/>
          <w:color w:val="000000"/>
          <w:sz w:val="28"/>
        </w:rPr>
        <w:t>
      2) елді мекендерде үй-жайлардың шегінен тыс ашық кеңістіктегі көше жиhазы (жабдық);</w:t>
      </w:r>
    </w:p>
    <w:bookmarkEnd w:id="11"/>
    <w:bookmarkStart w:name="z14" w:id="12"/>
    <w:p>
      <w:pPr>
        <w:spacing w:after="0"/>
        <w:ind w:left="0"/>
        <w:jc w:val="both"/>
      </w:pPr>
      <w:r>
        <w:rPr>
          <w:rFonts w:ascii="Times New Roman"/>
          <w:b w:val="false"/>
          <w:i w:val="false"/>
          <w:color w:val="000000"/>
          <w:sz w:val="28"/>
        </w:rPr>
        <w:t>
      3) елді мекендерде үй-жайлардың шегінен тыс ашық кеңістіктегі сыртқы (көрнекі) жарнама объектілері.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