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9187" w14:textId="bfe9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24 мамырдағы № 42 бұйрығы. Қазақстан Республикасының Әділет министрлігінде 2019 жылғы 27 мамырда № 18729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2016 жылғы 25 ақпанда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 мөлшерлемелер көлемі және олардың қолданылу </w:t>
      </w:r>
      <w:r>
        <w:rPr>
          <w:rFonts w:ascii="Times New Roman"/>
          <w:b w:val="false"/>
          <w:i w:val="false"/>
          <w:color w:val="000000"/>
          <w:sz w:val="28"/>
        </w:rPr>
        <w:t>мерзімінде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"Әкету кедендік бажы қолданылатын тауарлардың жекелеген түрлері, мөлшерлемелер көлемі және олардың қолданылу мерзімі" деген 1-бөлімде:</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7"/>
        <w:gridCol w:w="1414"/>
        <w:gridCol w:w="2036"/>
        <w:gridCol w:w="2263"/>
      </w:tblGrid>
      <w:tr>
        <w:trPr>
          <w:trHeight w:val="30" w:hRule="atLeast"/>
        </w:trPr>
        <w:tc>
          <w:tcPr>
            <w:tcW w:w="6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8607 12, 8607 21 100 0 – 8607 99 800 0, 8607 19 900 0</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локомотивтерінің немесе трамвайдың моторлы вагондарының немесе жылжымалы құрамның бөліктері: жиналған немесе бөлшектелген түрдегі біліктерден басқа; дөңгелек және оның бөлшектері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16,67 % бірақ 1 тоннасына 13,33 евродан кем емес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 бірақ 1 тоннасына 11,66 евродан кем емес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10 евродан кем емес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деген жол алып тасталсын.</w:t>
      </w:r>
    </w:p>
    <w:bookmarkStart w:name="z6" w:id="5"/>
    <w:p>
      <w:pPr>
        <w:spacing w:after="0"/>
        <w:ind w:left="0"/>
        <w:jc w:val="both"/>
      </w:pPr>
      <w:r>
        <w:rPr>
          <w:rFonts w:ascii="Times New Roman"/>
          <w:b w:val="false"/>
          <w:i w:val="false"/>
          <w:color w:val="000000"/>
          <w:sz w:val="28"/>
        </w:rPr>
        <w:t>
      2. Сыртқы сауда қызметін дамыту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